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221" w:h="922" w:wrap="none" w:hAnchor="page" w:x="1602" w:y="961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framePr w:w="3221" w:h="922" w:wrap="none" w:hAnchor="page" w:x="1602" w:y="96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framePr w:w="3773" w:h="1738" w:wrap="none" w:hAnchor="page" w:x="1333" w:y="2084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framePr w:w="3773" w:h="1738" w:wrap="none" w:hAnchor="page" w:x="1333" w:y="2084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1о77@Га8.еоу.п1</w:t>
      </w:r>
    </w:p>
    <w:p>
      <w:pPr>
        <w:pStyle w:val="Style6"/>
        <w:keepNext w:val="0"/>
        <w:keepLines w:val="0"/>
        <w:framePr w:w="3773" w:h="1738" w:wrap="none" w:hAnchor="page" w:x="1333" w:y="2084"/>
        <w:widowControl w:val="0"/>
        <w:shd w:val="clear" w:color="auto" w:fill="auto"/>
        <w:bidi w:val="0"/>
        <w:spacing w:before="0" w:after="40" w:line="240" w:lineRule="auto"/>
        <w:ind w:left="0" w:right="0" w:firstLine="44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штамп</w:t>
      </w:r>
    </w:p>
    <w:p>
      <w:pPr>
        <w:pStyle w:val="Style6"/>
        <w:keepNext w:val="0"/>
        <w:keepLines w:val="0"/>
        <w:framePr w:w="3773" w:h="1738" w:wrap="none" w:hAnchor="page" w:x="1333" w:y="2084"/>
        <w:widowControl w:val="0"/>
        <w:shd w:val="clear" w:color="auto" w:fill="auto"/>
        <w:tabs>
          <w:tab w:pos="1797" w:val="left"/>
        </w:tabs>
        <w:bidi w:val="0"/>
        <w:spacing w:before="0" w:after="140" w:line="240" w:lineRule="auto"/>
        <w:ind w:left="0" w:right="0" w:firstLine="16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регистрации</w:t>
        <w:tab/>
      </w:r>
      <w:r>
        <w:fldChar w:fldCharType="end"/>
      </w:r>
      <w:r>
        <w:rPr>
          <w:color w:val="425FA7"/>
          <w:spacing w:val="0"/>
          <w:w w:val="100"/>
          <w:position w:val="0"/>
          <w:shd w:val="clear" w:color="auto" w:fill="auto"/>
          <w:lang w:val="ru-RU" w:eastAsia="ru-RU" w:bidi="ru-RU"/>
        </w:rPr>
        <w:t>хр</w:t>
      </w:r>
    </w:p>
    <w:p>
      <w:pPr>
        <w:pStyle w:val="Style2"/>
        <w:keepNext w:val="0"/>
        <w:keepLines w:val="0"/>
        <w:framePr w:w="4061" w:h="254" w:wrap="none" w:hAnchor="page" w:x="1141" w:y="41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9"/>
        <w:keepNext w:val="0"/>
        <w:keepLines w:val="0"/>
        <w:framePr w:w="4488" w:h="3293" w:wrap="none" w:hAnchor="page" w:x="6406" w:y="865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«ДСП № 41 ДЗМ»</w:t>
      </w:r>
    </w:p>
    <w:p>
      <w:pPr>
        <w:pStyle w:val="Style9"/>
        <w:keepNext w:val="0"/>
        <w:keepLines w:val="0"/>
        <w:framePr w:w="4488" w:h="3293" w:wrap="none" w:hAnchor="page" w:x="6406" w:y="865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Сходненская, д.50/к.1, г. Москва, 125363, д8р41@то8догх±-амги</w:t>
      </w:r>
    </w:p>
    <w:p>
      <w:pPr>
        <w:pStyle w:val="Style11"/>
        <w:keepNext/>
        <w:keepLines/>
        <w:framePr w:w="4488" w:h="3293" w:wrap="none" w:hAnchor="page" w:x="6406" w:y="86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«КФХ»</w:t>
      </w:r>
      <w:bookmarkEnd w:id="0"/>
    </w:p>
    <w:p>
      <w:pPr>
        <w:pStyle w:val="Style9"/>
        <w:keepNext w:val="0"/>
        <w:keepLines w:val="0"/>
        <w:framePr w:w="4488" w:h="3293" w:wrap="none" w:hAnchor="page" w:x="6406" w:y="865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Сурикова Василия, д.16, кв. 34, Республика Крым, Г. Ялта, г. Алупка, 298677, клтЫтГагт@тай.ги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9" w:after="10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55" w:right="0" w:bottom="75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5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№077/06/106-3588/2024 о нарушении</w:t>
        <w:br/>
        <w:t>законодательства о контрактной системе</w:t>
        <w:br/>
        <w:t>14.03.2024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заместителя начальника отдела обжалования государственных закупок Е.А. Мироновой,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представителя: ГБУЗ «ДСП № 41 ДЗМ»: Македонского В.Н. (по дов.№1),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отсутствие представителей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«КФХ»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«КФХ»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(далее — Заявитель) на действия ГБУЗ «ДСП № 41 ДЗМ» (далее — Заказчик) при проведении электронного аукциона на право заключения государственного контракта на поставку дезинфицирующих средств для нужд ГБУЗ «ДСП № 41 ДЗМ» (Закупка № 0373200560924000002)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5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не представлены в полном объеме документы и сведения, запрашиваемые Московским УФАС России, а именно, Заказчиком не представлены следующие документы: приказ (иной акт) со всеми изменениями о создании Комиссии, действующей при проведении закупки; положение (иной акт), устанавливающий полномочия и обязанности членов Комиссии, действующей при проведении закупки; сведения о членах Комиссии, действующей при проведении закупки (паспортные данные); положение (иной акт), устанавливающий полномочия и обязанности должностного лица, утвердившего документацию о закупке, сведения об указанном должностном лице, а именно - приказ о назначении на должность, должностной регламент, служебный контракт (трудовой договор)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2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в описании объекта закупки Заказчиком установлены неправомерные требования к товару, в том числе не предусмотренные положениями санитарных правил и норм СанПиН 3.3686-21 «Санитарно-эпидемиологические требования по профилактике инфекционных болезней» (далее - СанПиН 3.3686-21), которые, по мнению Заявителя, ограничивают количество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частности Заявитель указывает на следующие ограничивающие требования к закупаемым товарам: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96" w:val="left"/>
          <w:tab w:pos="1434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п.1 «Средство дезинфицирующее»: «Количество действующих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веществ: 1», «Отсутствие в составе: Кислоты; Четвертичные аммониевые соединения; Хлорактивные; Производные гуанидина; Производные фенола; Спирты; Альдегиды; Ферменты»;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9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п.2 «Средство дезинфицирующее»: «Количество действующих веществ: 1», «Антимикробная активность: Микобактерии туберкулеза; Плесневые грибы», «Основное действующее вещество: Четвертичные аммониевые соединения»;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9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п.3,4 «Средство дезинфицирующее»: «Общее содержание спиртов по массе: &gt;= 60 &lt;= 70 %», «Содержание изопропилового спирта по массе: &gt;= 60 %»;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9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п.5 «Средство дезинфицирующее»: «Количество штук в упаковке: &gt; 90 &lt;= 100 шт», «Основное действующее вещество: Производные гуанидина»;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96" w:val="left"/>
        </w:tabs>
        <w:bidi w:val="0"/>
        <w:spacing w:before="0" w:after="0" w:line="300" w:lineRule="auto"/>
        <w:ind w:left="0" w:right="0" w:firstLine="700"/>
        <w:jc w:val="both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55" w:right="536" w:bottom="759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п.6 «Средство дезинфицирующее»: «Содержание пропилового спирта по массе: &gt;= 10 &lt;= 35 %», «Содержание этилового спирта по массе: &lt; 60 %», «Дополнительное действующее вещество: Четвертичные аммониевые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2024-12188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соединения», «Основное действующее вещество: Изопропиловый спирт; Этиловый спирт; Пропиловый спирт»;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7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п.7 «Средство дезинфицирующее»: «Время экспозиции при дезинфекции крови: &gt; 60 мин».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составе жалобы Заявитель указывает, что установленные Заказчиком требования к характеристикам необходимых к поставке товаров, по обжалуемым позициям, ограничивают круг участников закупки, поскольку совокупности установленных требований к товарам соответствуют товары конкретного производителя.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Помимо этого Заявитель указывает, что на поставку средств по п.6 «Средство дезинфицирующее», необходима лицензия на производство, хранение и поставку спиртосодержащей непищевой продукции, что также ограничивает количество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в составе жалобы Заявитель отметил, что по п.2 «Средство дезинфицирующее» Заказчиком установлено требования «Антимикробная активность: Микобактерии туберкулеза; Плесневые грибы», «Основное действующее вещество: Четвертичные аммониевые соединения», в то время как у четвертичных аммониевых соединений отсутствует антимикробная активность к микобактериям туберкулеза.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описании объекта закупки Заказчиком установлены в том числе следующие требования к закупаемым товарам: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7" w:val="left"/>
          <w:tab w:pos="143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п.1 «Средство дезинфицирующее»: «Количество действующих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веществ: 1», «Отсутствие в составе: Кислоты; Четвертичные аммониевые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соединения; Хлорактивные; Производные гуанидина; Производные фенола; Спирты; Альдегиды; Ферменты»;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4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п.2 «Средство дезинфицирующее»: «Количество действующих веществ: 1», «Антимикробная активность: Микобактерии туберкулеза; Плесневые грибы», «Основное действующее вещество: Четвертичные аммониевые соединения»;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4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п.3,4 «Средство дезинфицирующее»: «Общее содержание спиртов по массе: &gt;= 60 &lt;= 70 %», «Содержание изопропилового спирта по массе: &gt;= 60 %»;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4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п.5 «Средство дезинфицирующее»: «Количество штук в упаковке: &gt; 90 &lt;= 100 шт», «Основное действующее вещество: Производные гуанидина»;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4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п.6 «Средство дезинфицирующее»: «Содержание пропилового спирта по массе: &gt;= 10 &lt;= 35 %», «Содержание этилового спирта по массе: &lt; 60 %», «Дополнительное действующее вещество: Четвертичные аммониевые соединения», «Основное действующее вещество: Изопропиловый спирт; Этиловый спирт; Пропиловый спирт»;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4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п.7 «Средство дезинфицирующее»: «Время экспозиции при дезинфекции крови: &gt; 60 мин».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оспариваемые требования установлены Заказчиком в соответствии с потребностью учреждения, при этом потребность Заказчика обусловлена, в том числе, требованиями п.3478 СанПиН 3.3686-21.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Помимо это представитель Заказчика отметил, что при отсуствии у участника закупки лицензии на производство, хранение и поставку спиртосодержащей непищевой продукции, участнику закупки по п.6 «Средство дезинфицирующее» представляется возможным поставить средство для производства, хранения и поставке которого не требуется лицензия, так как описанием объекта закупки допускается поставка средства с содержанием этилового спирта по массе менее 0.5%, в то время как, в силу п.5 ст.2 Федерального закона от 22.11.1995 №171-ФЗ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под спиртосодержащей непищевая продукци понимается продукция с содержанием этилового спирта более 0,5 процента объема готовой продукции.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700"/>
        <w:jc w:val="both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7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Кроме того представитель Заказчика отметил, что четвертичные аммониевые соединения обладают антимикробной активностью к микобактериям туберкулеза, что подтверждается инструкциями дезинфицирующих средств, действующими веществами которых являются четвертичные аммониевые соединения, при этом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2024-12188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средства обладают антимикробной активностью к микобактериям туберкулеза.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представитель Заказчика отметил, что, вопреки доводам жалобы, потребности Заказчика соответствуют товары нескольких производителей, например: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7" w:val="left"/>
        </w:tabs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п.1 «Средство дезинфицирующее»: средство «Мистраль», производства ООО «Авансепт медикал», средство «Неоклин Экстра», производства ОАО НПО «Новодез», средство «Оптимакс», производства ООО «Интерсэн-плюс», средство «Бриллиантовый свет», производства ЗАО Центр Профилактики «Гигиена- Мед», средство «Люир Триамин», производства ООО «НПК Медэкс»;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7" w:val="left"/>
        </w:tabs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п.2 «Средство дезинфицирующее»: средство «Абсолюцид дикват», производства ООО «Химзавод «АЛ-ДЕЗ», средство «ХОРТ лайт», производства ООО «Полисепт», средство «Люир», производства ООО «НПК Медэкс», средство «Альхон-Диадез», производства ООО «Альхон-Трейд», средство «БонЭкстра М», производства ООО «Интерсэн-плюс», средство «Фион дез уборка», производства ООО «Мир дезинфекции», средство «Приоль», производства ООО «Бозон»;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7" w:val="left"/>
        </w:tabs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п.3 «Средство дезинфицирующее»: средство «Диасептик-70», производства ООО «Интерсэн-плюс», средство «Авандез-А», производства ООО «ДЭЗОС», средство «Септаксин КА 70 для обработки рук и поверхностей», производства ООО «Пролак», средство «ИзАсептик», производства ООО «Самарово»;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7" w:val="left"/>
        </w:tabs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п.4 «Средство дезинфицирующее»: средство «Септоцид Р», производства ЗАО «БелАсептика», средство «Кутасепт Ф», производства «ВОВЕ Скет^е 6тЪН», средство «Велтосепт-2», производства ООО «НПО «Велт», средство «Диасептик оптима», производства ООО «Интерсэн-плюс», средство «Оптимахенд», производства ЗАО НПО «Химсинтез», средство «Триформин Д», производства «Химическая фабрика Др. Вайгерт ГмбХ &amp; Ко. КГ»;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7" w:val="left"/>
        </w:tabs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п.5 «Средство дезинфицирующее»: салфетки «Трилокс», производства ООО «Бозон», салфетки «Диасептик-30 С», производства ООО «Интерсэн-плюс», салфетки «Авансепт», производства ООО «Авансепт медикал», салфетки «БиаДезСпрей», производства ООО «Бирюза», салфетки «Ника», производства ООО «Научно-производственная фирма «Геникс»;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7" w:val="left"/>
        </w:tabs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п.6 «Средство дезинфицирующее»: средство «Майкрошилд Додеман Экстра», производства «МкгозЫеИ ^о^етап Ех1га», средство «Вю^еx 1п1еп8Ае», производства ТОО «Вю^еxК2», средство «Эндолайт», производства ТОО «ГросФарм», средство «Ультрасепт», производства ТОО «Самал-2011»;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7" w:val="left"/>
        </w:tabs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п.7 «Средство дезинфицирующее»: средство «ЦитоДез Комплекс», производства ООО «Альмед компани»), средство «БиаРидез», производства ООО «Бирюза», средство «Мегабак», производства ООО «Интерсэн-плюс», средство «Феодез Форте», производства ООО «Феомед».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Управления отмечает, что, исходя из совокупности положений Закона о контрактной системе, в том числе ст.33 Закона о контрактной системе, следует, что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установление требований к техническим, функциональным характеристикам товара, работ, услуг, а также иных показателей, связанных с определением соответствия необходимого товара, выполняемых работ, оказываемых услуг существующим потребностям, является прерогативой заказчика.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Комиссия Управления отмечает что, согласно ч.4 ст.106 Закона о контрактной системе,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однако, на заседание Комиссии Управления представитель Заявителя не явился, а в составе жалобы Заявителем не представлено документов и сведений, свидетельствующих об ограничении количества участников закупки при формировании описания объекта закупки, ввиду чего у Комиссии Управления отсутствуют правовые основания для признания Заказчика нарушившим положения о Законе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Помимо этого Комиссия Управления отмечает, что в составе жалобы Заявителем не представлено сведений, позволяющих Комиссии Управления установить факт соответствия совокупности требований извещения товарам конкретного производителя, в частности не представлена информация о таком изделии, либо информация о производителе такого изделия, о требованиях к характеристикам закупаемого изделия, установленных в описании объекта закупки, которые не позволяют предложить к поставке изделия иных производителей и свидетельствующих о наличии ограничений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в составе жалобы Заявителем обозначен ряд вопросов, требований к оспариваемым характеристикам^ то время как, согласно п.5 ч.4 ст.105 Закона о контрактной системе, жалоба должна содержать указание на обжалуемые действия (бездействие) субъекта (субъектов) контроля, доводы жалобы, а не вопросы и требования, адресованные Заказчику.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8" w:val="left"/>
        </w:tabs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составе жалобы Заявитель указывает, что в составе извещения Заказчиком размещены некорректное обоснование использования дополнительных требований к характеристикам товарам.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в частности, Заявитель указывает на некорректное обоснование следующих характеристик: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  <w:tab w:pos="9322" w:val="left"/>
        </w:tabs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п.5 «Средство дезинфицирующее»: «Основное действующее вещество: Производные гуанидина», «Обоснование необходимости использования дополнительной характеристики: Основное действующее вещество для денатурации белков микроорганизмов без агрессивного воздействия на кожные покровы большой концентрацией спирта; СанПиН 3.3686-21</w:t>
        <w:tab/>
        <w:t>ч.3577.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Антимикробная активность: СанПиН 3.3686-21.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гл.11»;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п.7 «Средство дезинфицирующее»: «Время экспозиции при дезинфекции крови: &gt; 60 мин», «Обоснование необходимости использования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дополнительной характеристики: Время экспозиции при дезинфекции крови оптимальный расход и минимальное время обеззараживания для работы в условиях высокой интенсивности рабочего процесса».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— правила формирования КТРУ) и Правила использования каталога товаров, работ, услуг для обеспечения государственных и муниципальных нужд (далее — Правила использования КТРУ).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п.2 Правила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11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65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приглашении принять участие в определении поставщика (подрядчика, исполнителя) (далее — приглашение);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65" w:val="left"/>
          <w:tab w:pos="2116" w:val="left"/>
          <w:tab w:pos="10194" w:val="righ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документации о закупке (в случае если</w:t>
        <w:tab/>
        <w:t>Федеральным законом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предусмотрена документация о закупке);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65" w:val="left"/>
          <w:tab w:pos="2116" w:val="left"/>
        </w:tabs>
        <w:bidi w:val="0"/>
        <w:spacing w:before="0" w:after="4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65" w:val="left"/>
          <w:tab w:pos="2116" w:val="left"/>
        </w:tabs>
        <w:bidi w:val="0"/>
        <w:spacing w:before="0" w:after="4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реестре контрактов, заключенных заказчиками.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информацию, включенную в позицию каталога в соответствии с пп.«б» - «г» и «е» - «з» п.10 Правил формирования КТРУ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П.5 Правил использования КТРУ в том числе установлено, что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ст.33 Закона о контрактной системе, которые не предусмотрены в позиции каталога.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п.6 Правил использования КТРУ в случае предоставления дополнительной информации, предусмотренной п.5 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что, согласно извещению об осуществлении закупки, закупаемым товарам соответствуют следующие позиции каталога товаров, работ, услуг для обеспечения государственных и муниципальных нужд (далее - КТРУ)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75" w:val="left"/>
          <w:tab w:pos="211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п.5 соответствует позиция КТРУ 20.20.14.000-00000007 «Средство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дезинфицирующее»;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75" w:val="left"/>
          <w:tab w:pos="211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п.7 соответствует позиция КТРУ 20.20.14.000-00000005 «Средство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дезинфицирующее».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Комиссией Управления установлено, что при описании объекта закупки Заказчиком установлены дополнительные, не предусмотренные позициями КТРУ, требования к закупаемым товарам, при этом обоснование использование таких требований содержится в электронном документе «Обоснование характеристик», в частности: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75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п.5 «Средство дезинфицирующее»: «Основное действующее вещество», «Обоснование необходимости использования дополнительной характеристики: Основное действующее вещество для денатурации белков микроорганизмов без агрессивного воздействия на кожные покровы большой концентрацией спирта; СанПиН 3.3686-21 ч.3577. Антимикробная активность: СанПиН 3.3686-21. гл.И»;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75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п.7 «Средство дезинфицирующее»: «Время экспозиции при дезинфекции крови», «Обоснование необходимости использования дополнительной характеристики: Время экспозиции при дезинфекции крови оптимальный расход и минимальное время обеззараживания для работы в условиях высокой интенсивности рабочего процесса».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заседании Комиссии Управления представитель Заказчик пояснил, что обоснование оспариваемых характеристик в полной мере соотносится с характеристиками описания объекта закупки, а также отметил, что обоснование характеристик «Время экспозиции при дезинфекции крови» не противоерчит обосновываемой характеристике, так как дезинфекция крови при использовании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обычных средств составляет около 2-3 часов.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представитель Заказчика отметил, что «Основное действующее вещество» так составлено корректно и не противоречит обосновываемой характеристике, так как отсутствие спиртов является следствием аллергических реакций персонала учреждения на спирт.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Комиссия Управления отмечает, что на заседание Комиссии Управления представитель Заявителя не явился, а в составе жалобы Заявителем не представлено документов и сведений, свидетельствующих об ограничении количества участников закупки при формировании описания объекта закупки, ввиду чего у Комиссии Управления отсутствуют правовые основания для признания Заказчика нарушившим положения о Законе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6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1. Признать жалобу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«КФХ»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действия ГБУЗ «ДСП № 41 ДЗМ» необоснованной.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ограничения, наложенные на определение поставщика (подрядчика, исполнителя).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165" w:val="left"/>
        </w:tabs>
        <w:bidi w:val="0"/>
        <w:spacing w:before="0" w:after="20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Председательствующий:</w:t>
        <w:tab/>
        <w:t>Е.А. Миронова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165" w:val="left"/>
        </w:tabs>
        <w:bidi w:val="0"/>
        <w:spacing w:before="0" w:after="26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  <w:tab/>
        <w:t>М.В. Сорбучева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20" w:line="262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Матюшенко А.А., 8(495) 784-75-05</w:t>
      </w:r>
    </w:p>
    <w:sectPr>
      <w:headerReference w:type="default" r:id="rId13"/>
      <w:footerReference w:type="default" r:id="rId14"/>
      <w:headerReference w:type="even" r:id="rId15"/>
      <w:footerReference w:type="even" r:id="rId16"/>
      <w:footnotePr>
        <w:pos w:val="pageBottom"/>
        <w:numFmt w:val="decimal"/>
        <w:numRestart w:val="continuous"/>
      </w:footnotePr>
      <w:pgSz w:w="11900" w:h="16840"/>
      <w:pgMar w:top="1162" w:right="535" w:bottom="1220" w:left="110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2024-12188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399999999999999pt;margin-top:794.70000000000005pt;width:56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2024-12188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263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2024-12188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804.5pt;width:56.899999999999999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2024-12188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2024-12188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399999999999999pt;margin-top:794.70000000000005pt;width:56.899999999999999pt;height:7.9000000000000004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2024-12188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5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2024-12188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399999999999999pt;margin-top:794.70000000000005pt;width:56.899999999999999pt;height:7.9000000000000004pt;z-index:-1887440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2024-12188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3929380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40000000000003pt;margin-top:37.5pt;width:5.04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418465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pt;margin-top:32.950000000000003pt;width:5.2999999999999998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3929380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40000000000003pt;margin-top:37.5pt;width:5.0499999999999998pt;height:8.1500000000000004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3929380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40000000000003pt;margin-top:37.5pt;width:5.0499999999999998pt;height:8.1500000000000004pt;z-index:-1887440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7"/>
      <w:sz w:val="19"/>
      <w:szCs w:val="19"/>
      <w:u w:val="none"/>
    </w:rPr>
  </w:style>
  <w:style w:type="character" w:customStyle="1" w:styleId="CharStyle7">
    <w:name w:val="Основной текст (3)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color w:val="1D1D1D"/>
      <w:sz w:val="10"/>
      <w:szCs w:val="10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7"/>
      <w:sz w:val="19"/>
      <w:szCs w:val="19"/>
      <w:u w:val="none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auto"/>
      <w:spacing w:after="90"/>
      <w:ind w:firstLine="300"/>
    </w:pPr>
    <w:rPr>
      <w:rFonts w:ascii="Arial" w:eastAsia="Arial" w:hAnsi="Arial" w:cs="Arial"/>
      <w:b/>
      <w:bCs/>
      <w:i w:val="0"/>
      <w:iCs w:val="0"/>
      <w:smallCaps w:val="0"/>
      <w:strike w:val="0"/>
      <w:color w:val="1D1D1D"/>
      <w:sz w:val="10"/>
      <w:szCs w:val="10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28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/Relationships>
</file>