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Федеральной антимонопольной службы</w:t>
        <w:br/>
        <w:t>по Калининградской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Барнаульская 4, г. Калининград, 236006</w:t>
        <w:br/>
        <w:t>бокс № 5033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 (4012) 53-72-01, факс (4012) 53-72-00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1о39@&amp;8.§оу.ги</w:t>
      </w:r>
    </w:p>
    <w:p>
      <w:pPr>
        <w:pStyle w:val="Style8"/>
        <w:keepNext/>
        <w:keepLines/>
        <w:widowControl w:val="0"/>
        <w:shd w:val="clear" w:color="auto" w:fill="auto"/>
        <w:tabs>
          <w:tab w:pos="1954" w:val="left"/>
          <w:tab w:pos="2569" w:val="left"/>
        </w:tabs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4,03.2024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ИБ/1190/24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результатам рассмотрения жалобы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ИП Попов Алексей Николаевич </w:t>
      </w:r>
      <w:r>
        <w:fldChar w:fldCharType="begin"/>
      </w:r>
      <w:r>
        <w:rPr/>
        <w:instrText> HYPERLINK "mailto:popov_aleksei_n@mail.ru"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ророу а1ек8е1 п@ша1Ьги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ко@118-1епдег.ш; тГо@1ф8-1епдег.ш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казенное учреждение здравоохранения «Медицинский информационно-аналитический центр Калининградской области»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61" w:bottom="1207" w:left="1140" w:header="0" w:footer="3" w:gutter="0"/>
          <w:pgNumType w:start="1"/>
          <w:cols w:num="2" w:space="720" w:equalWidth="0">
            <w:col w:w="4186" w:space="1075"/>
            <w:col w:w="4838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"mailto:i.rusina@infomed39.ru" </w:instrText>
      </w:r>
      <w:r>
        <w:fldChar w:fldCharType="separate"/>
      </w:r>
      <w:r>
        <w:rPr>
          <w:color w:val="00003C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ЕШ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8</w:t>
      </w:r>
      <w:r>
        <w:rPr>
          <w:color w:val="00003C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т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а@</w:t>
      </w:r>
      <w:r>
        <w:rPr>
          <w:color w:val="00003C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т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Готед39.</w:t>
      </w:r>
      <w:r>
        <w:rPr>
          <w:color w:val="00003C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ш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:п.8аГ</w:t>
      </w:r>
      <w:r>
        <w:rPr>
          <w:color w:val="00003C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шШ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па@</w:t>
      </w:r>
      <w:r>
        <w:rPr>
          <w:color w:val="00003C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.т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Готед39.г и;т1ас@1пГотес139</w:t>
      </w:r>
    </w:p>
    <w:p>
      <w:pPr>
        <w:widowControl w:val="0"/>
        <w:spacing w:before="50" w:after="5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3" w:right="0" w:bottom="1158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63500" distB="0" distL="0" distR="0" simplePos="0" relativeHeight="125829378" behindDoc="0" locked="0" layoutInCell="1" allowOverlap="1">
                <wp:simplePos x="0" y="0"/>
                <wp:positionH relativeFrom="page">
                  <wp:posOffset>519430</wp:posOffset>
                </wp:positionH>
                <wp:positionV relativeFrom="paragraph">
                  <wp:posOffset>880745</wp:posOffset>
                </wp:positionV>
                <wp:extent cx="6781800" cy="196913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81800" cy="1969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И.С. Болтенко - заместитель руководителя — начальник отдела контроля органов власти, закупок и рекламы Калининградского УФАС России;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О.И. Филатов - ведущий специалист - эксперт отдела рекламы Калининградского УФАС России;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И.Ю. Затолюк - специалист-эксперт отдела контроля Калининградского УФАС России, при участии представителей: заявителя - ИП Попова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0.899999999999999pt;margin-top:69.350000000000009pt;width:534.pt;height:155.05000000000001pt;z-index:-125829375;mso-wrap-distance-left:0;mso-wrap-distance-top:5.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И.С. Болтенко - заместитель руководителя — начальник отдела контроля органов власти, закупок и рекламы Калининградского УФАС России;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О.И. Филатов - ведущий специалист - эксперт отдела рекламы Калининградского УФАС России;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И.Ю. Затолюк - специалист-эксперт отдела контроля Калининградского УФАС России, при участии представителей: заявителя - ИП Попова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039/06/33-147/2024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6289675</wp:posOffset>
                </wp:positionH>
                <wp:positionV relativeFrom="paragraph">
                  <wp:posOffset>12700</wp:posOffset>
                </wp:positionV>
                <wp:extent cx="999490" cy="21971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94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Калининград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95.25pt;margin-top:1.pt;width:78.700000000000003pt;height:17.3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Калининград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11.03.2024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14.03.2024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контроля органов власти, закупок 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органов власти, закупок и рекламы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Алексея Николаевича (лично); Е.А. Поповой (по доверенности); заказчика - государственного казенного учреждения здравоохранения «Медицинский информационно-аналитический центр Калининградской области»: Д.В. Куделки (по доверенности); А.И. Бабиновича (по доверенности); И.Б. Русиной (по доверенности),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в режиме видеоконференцсвязи посредством плагина «ТшеСопГ» жалобу ИП Попова Алексея Николаевича (вх. № 1633/24 от 04.03.2024) на действия заказчика - Государственного казенного учреждения здравоохранения «Медицинский информационно-аналитический центр Калининградской области» при проведении запроса котировок в электронной форме, предметом которого является поставка автоматизированных рабочих мест (извещение № 0335200007524000009) (далее - Аукцион), и в результате внеплановой проверки, проведенной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1111111111111III11111111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Калининградской области 04.03.2024 поступила жалоба Заявителя на действия Заказчика при формировании извещения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обоснование своей жалобы Заявитель привел следующие доводы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установленные в описании объекта закупки меры защиты информации являются избыточными, более того, в настоящее время в Российской Федерации не существует ни одного сертифицированного средства защиты информации, которое одновременно отвечало бы всем требованиям, заявленным в Техническом задании.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даны следующие пояснения по сути жалобы Заявителя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не согласен с доводами жалобы Заявителя, полагает, что описание объекта закупки составлено в соответствии с требованиями Закона о контрактной системе и его потребностью.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результате рассмотрения жалобы и проведения в соответствии с частью 15 статьи 99 Закона о контрактной системе внеплановой проверки, Комиссия установила следующее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26.02.2024 Заказчиком на официальном сайте единой информационной системы в сфере закупок (далее - официальный сайт, ЕИС) размещено извещение об осуществлении закупки № </w:t>
      </w:r>
      <w:r>
        <w:fldChar w:fldCharType="begin"/>
      </w:r>
      <w:r>
        <w:rPr/>
        <w:instrText> HYPERLINK "https://zakupki.gov.ru/epz/order/notice/ea20/view/common-info.html?regNumber=0335200014923003491"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0335200007524000009</w:t>
      </w:r>
      <w:r>
        <w:fldChar w:fldCharType="end"/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приложениями. Начальная (максимальная) цена контракта - 8 730 843,00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статьи 6 Закона о контрактной системе 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пункта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электронный документ, отражающий описание объекта закупки в соответствии со статьей 33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пункте 39 «Основной части извещения о проведении запроса котировок», являющейся неотъемлемой частью извещения указан перечень документов (электронных документов), содержащихся в извещении, в том числе «Описание объекта закупки (техническое задание)» (далее — Техническое задание).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пункте 1 Технического задания, размещенного в составе извещения об осуществлении закупки указано, в том числе следующее: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«СЗИ, реализуют следующие меры: ИАФ.1-ИАФ.5; УПД.1-УПД.6; УПД.9-УПД.11; УПД.13-УПД.17; ОПС.1-ОПС.3; РСБ.1-РСБ.8; ЗНИ1-ЗНИ3; ЗНИ5; ЗНИ8; АВЗ.1; АВЗ.1 усиление 6, АВЗ.1 усиление 8; АВЗ.2».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в Техническом задании указано, что СЗИ должные соответствовать: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«-Требованиям о защите информации, не составляющей государственную тайну, содержащейся в ГИС, утвержденных приказом ФСТЭКРоссии №17 от 11февраля 2013 г.,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-Составу и содержанию организационных и технических мер по обеспечению безопасности персональных данных при их обработке в информационных системах персональных данных, утверждены приказом ФСТЭК России от 18.03.2013 №21».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Как полагает, Заявитель установленные меры защиты информации, а именно: ИАФ.2, УПД.3, УПД.13, УПД.14, УПД.15 ,УПД.16, ОПС.1, ОПС.2, ОПС.3, ЗНИ.1, ЗНИ.2, ЗНИ.3, ЗНИ.5, ЗНИ.8, РСБ.2, РСБ.6, РСБ.8, АВЗ.1 (усиление 6 и 8), АВЗ.2 являются избыточными, также Заявитель в своих дополнениях к жалобе указывает, что программный комплекс «Электронный замок «ВИТЯЗЬ», версии 2.2 является единственным СЗИ, сертифицированным ФСТЭК России по профилю СДЗ подходящим под требования меры АВЗ.1 усиления 6 и 8, АВЗ.2 Технического задания. Меры АВЗ.1 (усиление 6 и 8) и РСБ.8 могут быть включены только в уточняющий адаптированный базовый набор мер и требуют обоснования утвержденной оператором Единой государственной информационной системы в сфере здравоохранения и согласованной с ФСТЭК и ФСБ модели угроз. Такая модель угроз у Заказчика отсутствует.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Комиссия, проанализировав представленные материалы и сведения, принимая во внимание пояснения сторон, приходит к следующим выводам.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представленным материалам Государственная информационная система в сфере здравоохранения Калининградской области (далее — ИС) в соответствии с Аттестатом соответствия №2384.00008.2021 от 21.12.2021, выданным 000 «БАЛТ-информ» (далее - Аттестат соответствия №2384.00008.2021 от 21.12.2021) соответствует следующим требованиям по защите информации: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«класс защищенности К1, 2 уровень защищенности персональных данных, 3 категория значимости, оператор ИС - МИАЦ, соответствует Требованиям о защите информации, не составляющей государственную тайну, содержащейся в государственных информационных системах, утверждены приказом ФСТЭК России от 11.02.2013 № 17, Составу и содержанию организационных и технических мер по обеспечению безопасности персональных данных при их обработке в информационных системах персональных данных, утверждены приказом ФСТЭК России от 18.02.2013 №21, Требованиям по обеспечению безопасности значимых объектов критической информационной инфраструктуры Российской Федерации, утверждены Приказом ФСТЭК России от 25.12.2017 №239».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20 Приказа ФСТЭК России от 11.02.2013 № 17 «Об утверждении Требований о защите информации, не составляющей государственную тайну, содержащейся в государственных информационных системах» (далее - Приказ ФСТЭК России от 11.02.2013 № 17) организационные и технические меры защиты информации, реализуемые в информационной системе в рамках ее системы защиты информации, в зависимости от угроз безопасности информации, используемых информационных технологий и структурно-функциональных характеристик информационной системы должны обеспечивать: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идентификацию и аутентификацию субъектов доступа и объектов доступа;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 доступом субъектов доступа к объектам доступа;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ограничение программной среды;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защиту машинных носителей информации;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регистрацию событий безопасности;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антивирусную защиту;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обнаружение (предотвращение) вторжений;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контроль (анализ) защищенности информации;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целостность информационной системы и информации;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доступность информации;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защиту среды виртуализации;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защиту технических средств;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защиту информационной системы, ее средств, систем связи и передачи данных.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Состав мер защиты информации и их базовые наборы для соответствующих классов защищенности информационных систем приведены в приложении № 2 к настоящим Требованиям.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21 Приказа ФСТЭК России от 11.02.2013 № 17 выбор мер защиты информации для их реализации в информационной системе в рамках ее системы защиты информации включает: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определение базового набора мер защиты информации для установленного класса защищенности информационной системы в соответствии с базовыми наборами мер защиты информации, приведенными в приложении № 2 к настоящим Требованиям;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адаптацию базового набора мер защиты информации применительно к структурно</w:t>
        <w:softHyphen/>
        <w:t>функциональным характеристикам информационной системы, информационным технологиям, особенностям функционирования информационной системы (в том числе предусматривающую исключение из базового набора мер защиты информации мер, непосредственно связанных с информационными технологиями, не используемыми в информационной системе, или структурно</w:t>
        <w:softHyphen/>
        <w:t>функциональными характеристиками, не свойственными информационной системе);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уточнение адаптированного базового набора мер защиты информации с учетом не выбранных ранее мер защиты информации, приведенных в приложении № 2 к настоящим Требованиям, в результате чего определяются меры защиты информации, обеспечивающие блокирование (нейтрализацию) всех угроз безопасности информации, включенных в модель угроз безопасности информации;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дополнение уточненного адаптированного базового набора мер защиты информации мерами, обеспечивающими выполнение требований о защите информации, установленными иными нормативными правовыми актами в области защиты информации, в том числе в области защиты персональных данных.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Для выбора мер защиты информации для соответствующего класса защищенности информационной системы применяются методические документы, разработанные и утвержденные ФСТЭК России в соответствии с подпунктом 4 пункта 8 Положения о Федеральной службе по техническому и экспортному контролю, утвержденного Указом Президента Российской Федерации от 16.08.2004 года № 1085.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пункта 22 Приказа ФСТЭК России от 11.02.2013 № 17 в информационной системе соответствующего класса защищенности в рамках ее системы защиты информации должны быть реализованы меры защиты информации, выбранные в соответствии с пунктом 21 настоящих Требований и обеспечивающие блокирование (нейтрализацию) всех угроз безопасности информации.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ФСТЭК России 11.02.2014 года утвержден «Методический документ. Меры защиты информации в государственных информационных системах» разработанный и утвержденный в соответствии с подпунктом 4 пункта 8 Положения о Федеральной службе по техническому и экспортному контролю, утвержденного Указом Президента Российской Федерации от 16.08.2004 года № 1085 (далее — Методический документ).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Методический документ детализирует организационные и технические меры защиты информации (далее - меры защиты информации), принимаемые в государственных информационных системах (далее - информационные системы) в соответствии с Требованиями о защите информации, не составляющей государственную тайну, содержащейся в государственных информационных системах,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утвержденными приказом ФСТЭК России от 11.02.2013 года № 17, а также определяет содержание мер защиты информации и правила их реализации.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Методический документ предназначен для обладателей информации, заказчиков, заключивших государственный контракт на создание информационной системы (далее - заказчики), операторов информационных систем (далее - операторы), лиц, обрабатывающих информацию, являющуюся государственным информационным ресурсом, по поручению обладателя информации (заказчика) или оператора и (или) предоставляющих им вычислительные ресурсы (мощности) для обработки информации на основании заключенного договора (далее - уполномоченные лица), а также лиц, привлекаемых в соответствии с законодательством Российской Федерации для проведения работ по созданию (проектированию) информационных систем в защищенном исполнении и (или) их систем защиты информации (далее - разработчики (проектировщики)).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Методический документ применяется для выбора и реализации в соответствии с пунктом 21 Требований о защите информации, не составляющей государственную тайну, содержащейся в государственных информационных системах, утвержденных приказом ФСТЭК России от 11.02.2013 года № 17, мер защиты информации в информационных системах, направленных на обеспечение: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конфиденциальности информации (исключение неправомерного доступа, копирования, предоставления или распространения информации);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целостности информации (исключение неправомерного уничтожения или модифицирования информации);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доступности информации (исключение неправомерного блокирования информации).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абзацу 2 пункта 2 Методического документа выбор мер защиты информации осуществляется исходя из класса защищенности информационной системы, определяющего требуемый уровень защищенности содержащейся в ней информации, и угроз безопасности информации, включенных в модель угроз безопасности информационной системы, а также с учетом структурно-функциональных характеристик информационной системы, к которым относятся структура и состав информационной системы, физические, логические, функциональные и технологические взаимосвязи между сегментами информационной системы, взаимосвязи с иными информационными системами и информационно- телекоммуникационными сетями, режимы обработки информации в информационной системе и в ее отдельных сегментах, а также иные характеристики информационной системы, применяемые информационные технологии и особенности ее функционирования.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абзацами 2, 3 подпункта «а» пункта 2.3 Методического документа определение базового набора мер защиты информации основывается на классе защищенности информационной системы, установленном в соответствии с пунктом 2.1 настоящего методического документа. В соответствии с Требованиями о защите информации, не составляющей государственную тайну, содержащейся в государственных информационных системах, утвержденными приказом ФСТЭК России от 11.02.2013 г. № 17, и приложением № 2 к настоящему методическому документу в качестве начального выбирается один из четырех базовых наборов мер защиты информации, соответствующий установленному классу защищенности информационной системы. Меры защиты информации, обозначенные знаком «+» в приложении № 2 включены в базовый набор мер защиты информации для соответствующего класса защищенности информационной системы. Меры защиты информации, не обозначенные знаком «+», к базовому набору мер не относятся, и могут применяться при последующих действиях по адаптации, уточнению, дополнению мер защиты информации, а также разработке компенсирующих мер защиты информации.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Базовый набор мер защиты информации, выбранный в соответствии с классом защищенности информационной системы, подлежит адаптации применительно к структурно-функциональным характеристикам и особенностям функционирования информационной системы, уточнению в зависимости от угроз безопасности информации и при необходимости дополнению мерами защиты информации, включенными в иные нормативные правовые акты, нормативные и методические документы по защите информации.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Комиссией установлено, что в соответствии с Приложением № 2 к Требованиям о защите информации, не составляющей государственную тайну, содержащейся в государственных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информационных системах, утвержденным приказом ФСТЭК России № 17 от 11.02.2013 к классу защищенности информационной системы К1, которому согласно Аттестату соответствия № 2384.00008.2021 от 21.12.2021 соответствует ИС Заказчика, применяются следующие базовые меры защиты информации, выбранные Заказчиком: ИАФ.1-ИАФ.5; УПД.1-УПД.6; УПД.9-УПД.11; УПД.13- УПД.17; ОПС.1-ОПС.3; РСБ.1-РСБ.7; ЗНИ1-ЗНИ2; ЗНИ5; ЗНИ8; АВЗ.1; АВЗ.2.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приходит к выводу, что позиция Заявителя о том, что установленные базовые меры защиты информации, которые по мнению Заявителя также являются избыточными, а именно: ИАФ.2, УПД.3, УПД.13, УПД.14, УПД.15 ,УПД.16, ОПС.1, ОПС.2, ОПС.3, ЗНИ.1, ЗНИ.2, ЗНИ.5, ЗНИ.8, РСБ.2, РСБ.6, АВЗ.2 является несостоятельной.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также установлено, что в Техническом задании по позиции 1 Заказчиком были установлены помимо базовых мер защиты информации, меры защиты информации, применяющиеся при адаптации базового набора мер и уточнении адаптированного базового набора мер, а также при разработке компенсирующих мер защиты информации в информационной системе соответствующего класса защищенности, а именно: РСБ.8, ЗНИ.3, АВЗ.1 (усиление 6 и 8).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абзацам 2, 3 подпункта «в» пункта 2.3 Методического документа уточнение адаптированного базового набора мер защиты информации проводится с учетом результатов оценки возможности адаптированного базового набора мер защиты информации адекватно блокировать (нейтрализовать) все угрозы безопасности информации, включенные в модель угроз безопасности информации, или снизить вероятность их реализации исходя из условий функционирования информационной системы.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Исходными данными при уточнении адаптированного базового набора мер защиты информации являются перечень угроз безопасности информации и их характеристики (потенциал, оснащенность, мотивация), включенные в модель угроз безопасности информации.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абзацами 6, 7, 8, 10 подпункта «в» пункта 2.3 Методического документа уточненный адаптированный базовый набор мер защиты информации подлежит реализации в информационной системе в соответствии с разделом 3 настоящего методического документа.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подразделах «требования к реализации меры защиты информации» для каждой меры, приведенной в разделе 3 настоящего методического документа, указано требование к тому, каким образом и в каком объеме должна быть реализована каждая мера защиты информации. Требования к реализации мер защиты информации являются минимальными требованиями, выполнение которых должно быть обеспечено в информационной системе соответствующего класса защищенности, в случае если эта мера выбрана для реализации в качестве уточненной адаптированной базовой меры защиты информации.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зависимости от класса защищенности информационной системы минимальные требования к реализации уточненной адаптированной базовой меры защиты информации подлежат усилению для повышения уровня защищенности информации. Все возможные усиления мер защиты информации приведены в подразделах «требования к усилению меры защиты информации», приведенных в разделе 3 настоящего методического документа для каждой меры защиты информации. Усиления мер защиты информации применяются дополнительно к требованиям по реализации мер защиты информации, приведенным в подразделах «требования к реализации меры защиты информации».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Усиления мер защиты информации, приведенные в подразделе «требования к усилению меры защиты информации» и не включенные в таблицу с содержанием базовой меры защиты информации в подразделе «содержание базовой меры защиты информации», применяется по решению обладателя информации, заказчика и (или) оператора для повышения уровня защищенности информации, содержащейся в информационной системе, или при адаптации, уточнении, дополнении мер защиты информации, а также при разработке компенсирующих мер защиты информации.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подпункту «г» пункта 2.3 Методического документа дополнение уточненного адаптированного базового набора мер защиты информации осуществляется с целью выполнения требований о защите информации, установленных иными нормативными правовыми актами в области защиты информации, в том числе в области защиты персональных данных.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Дополнение уточненного адаптированного базового набора мер защиты информации может потребоваться, в том числе в случае: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а) если федеральным законом, указом Президента Российской Федерации, постановлением Правительства Российской Федерации, нормативными актами органа государственной власти, органа местного самоуправления или организации, определяющими порядок создания и эксплуатации информационной системы, устанавливаются дополнительные требования к защите информации, выполнение которых не предусмотрено Требованиями о защите информации, не составляющей государственную тайну, содержащейся в государственных информационных системах, утвержденных приказом ФСТЭК России от 11.02.2013 года № 17.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4 статьи 16 Федерального закона от 27.07.2006г. № 149 ФЗ «Об информации, информационных технологиях и о защите информации» обладатель информации, оператор информационной системы в случаях, установленных законодательством Российской Федерации, обязаны обеспечить: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предотвращение несанкционированного доступа к информации и (или) передачи ее лицам, не имеющим права на доступ к информации;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4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своевременное обнаружение фактов несанкционированного доступа к информации;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предупреждение возможности неблагоприятных последствий нарушения порядка доступа к информации;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недопущение воздействия на технические средства обработки информации, в результате которого нарушается их функционирование;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возможность незамедлительного восстановления информации, модифицированной или уничтоженной вследствие несанкционированного доступа к ней;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4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постоянный контроль за обеспечением уровня защищенности информации;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нахождение на территории Российской Федерации баз данных информации, с использованием которых осуществляются сбор, запись, систематизация, накопление, хранение, уточнение (обновление, изменение), извлечение персональных данных граждан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представители Заказчика пояснили, что АРМ, являющееся предметом закупки, приобретаются с целью реализации новой информационной системы «Электронная регистратура», реализуемой в рамках развития цифрового контура здравоохранения Российской Федерации и оператором которой является Заказчик. Оператор информационной системы самостоятельно определяет состав мер информационной безопасности (как организационных, так и технических) с учетом законодательства Российской Федерации в области защиты информации, достаточный для противодействия угрозам безопасности. В целях недопущения загрузки вредоносного программного обеспечения на этапе инициализации операционной системы Заказчиком было заявлено требование о наличие средств антивирусной защиты уровня осуществляющих контроль целостности файлов ОС на этапе загрузки АРМ (АВЗ.1 усиление 6) и контроль микропрограммного кода загрузочного сектора базовой системы ввода вывода (АВЗ.1 усиление 8), что является актуальной угрозой в связи с возросшим количеством вредоносного ПО типа «руткит» и «буткит». Меры СЗИ, указанные в описании объекта закупки распространены не на единое средство защиты информации, а на составную подсистему защиты информации из нескольких решений, сертифицированных в соответствии с требованиями регуляторов в области обеспечения информационной безопасности (ФСТЭК России и ФСБ России).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Также, согласно пояснениям Заказчика на постоянной основе обновляется информация о новых угрозах и уизвимостях в Банке данных, размещенном на официальном сайте ФСТЭК России. Последнее обновление Банка угроз осуществлено ФСТЭК России 06.03.2024 года и по состоянию на указанную дату в нем содержалась информация о 222 выявленных угрозах и 55242 уизвимостях. Заказчик как оператор, несущий персональную ответственность за обеспечение информационной безопасности и защиту данных в государственной информационной системе, в ходе доработки подсистемы защиты информации учел, как базовые меры в отношении государственной информационной системы класса защищенности К1, так и дополнительные меры с учетом актуальных угроз.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Комиссия отмечает, что Заявителем в ходе рассмотрения жалобы не было представлено каких- либо сведений, позволяющих сделать вывод, что выбранные Заказчиком меры защиты не соответствуют его фактической потребности, кроме того, Заказчик является оператором ИС, что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накладывает на него ответственность за не соблюдение законодательства Российской Федерации в области защиты информации.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части доводов жалобы Заявителя о том, что программный комплекс «Электронный замок «ВИТЯЗЬ», версии 2.2 является единственным СЗИ, сертифицированным ФСТЭК России по профилю СДЗ подходящим под требования меры АВЗ.1 усиления 6 и 8, АВЗ.2 и, что в настоящий момент нет ни одного сертифицированного средства защиты информации, которое одновременно отвечало бы всем требованиям, заявленным в Техническом задании, Комиссия отмечает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расчете НМЦК по настоящей закупке Заказчиком использовались коммерческие предложения, представленные: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7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«Центр защиты информации» (исх. № 151 от 09.02.2024), согласно которому к поставке предложено (АРМ, тип 1, страна происхождения: Россия, реестровая запись № 3279\1\2023 в составе: ПЭВМ !СЬ ВаысКау модели В102 О2К: 13-12100/86В/2566В 88^ М.2/Монитор 23,8» /ИБП 600 ВА/К/М Предустановленное ПО: \ита ВЮ8, Альт Рабочая станция 10.1 Предустановленные СЗИ: \"1Р\е1 8аГеВоо1, ^аПа8 Воск 1.1пи\, Казрегзку ЕпфопП 8есип1у);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7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«Крафтвэй корпорэйшн ПЛС» (исх. № ДП/0902 от 09.02.2024), согласно которому к поставке предложено (АРМ Крафтвэй 1С210 КРПЕ.466216.050 Персональная ЭВМ Крафтвэй 1С210 КРПЕ.466216.119);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7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«Комплексные инновационные технологии» (исх. № 6 от 12.02.2024), согласно которому к поставке предложено (АРМ Крафтвэй 1С210 КРПЕ.466216.050 Персональная ЭВМ Крафтвэй 1С210 КРПЕ.466216.119);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в коммерческих предложениях в соответствии с Техническим заданием к поставке были предложены разные АРМ.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(подрядчика, исполнителя) от 06.03.2024 №ИЗК1 на участие в запросе котировок подано две заявки с идентификационными номерами № 116011117, 115974635 Заявка № 116011117 отклонена, а заявка № 115974635 признана соответствующей. В заявке № 115974635, признанной соответствующей предложено к поставке АРМ Крафтвэй 1С210 КРПЕ.466216.050 реестровая запись № 5987\1\2023 от 21.12.2023 страна происхождения Россия. В заявке № 116011117, отклоненной предложено к поставке АРМ происхождения товара Россия.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Как пояснил представитель Заказчика на заседании Комиссии к поставке требуется комплекс, отвечающий требованиям, установленным в Техническом задании, который поставщик комплектует самостоятельно.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обращает внимание, что в материалы рассмотрения жалобы Заявителем не было представлено каких-либо сведений, позволяющих сделать вывод, что единственным СЗИ, сертифицированным ФСТЭК России по профилю средства доверенной загрузки, подходящим под требования меры АВЗ.1 усиления 6 и 8, АВЗ.2 является только программный комплекс «Электронный замок «ВИТЯЗЬ», версии 2.2.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том, представленные коммерческие предложения, поданные заявки на участие в закупке, вопреки позиции Заявителя об отсутствии на рынке сертифицированного средства защиты информации, которое одновременно отвечало бы всем требованиям, заявленным в Техническом задании, свидетельствуют о том, что на рынке имеются поставщики, готовые осуществить поставку в соответствии с требованиями Технического задания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с учетом представленных материалов, пояснений сторон, поданных заявок на участие в закупке, в отсутствие представленных со стороны Заявителя доказательств: о невозможности поставки АРМ, заявленного Заказчиком в Техническом задании; о соответствие требованиям меры АВЗ.1 усиления 6 и 8, АВЗ.2 только программного комплекса «Электронный замок «ВИТЯЗЬ», версии 2.2, Комиссия приходит к выводу, что в действиях Заказчика при формировании извещения об осуществлении закупки отсутствуют признаки нарушения Закона о контрактной системе. Доводы жалобы Заявителя являются необоснованными.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заседании Комиссии представители лиц, участвующих в рассмотрении жалобы, на вопрос Председателя Комиссии о достаточности доказательств, представленных в материалы дела, пояснили,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что все доказательства, которые они намеревались представить, имеются в распоряжении Комиссии, иных доказательств, ходатайств, в том числе о представлении или истребовании дополнительных доказательств не имеется.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изложенным, руководствуясь частями 1, 4, 7 статьи 105, частью 8 статьи 106 Закона о контрактной системе, Комиссия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ИП Попова Алексея Николаевича необоснованной.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3" w:right="389" w:bottom="1158" w:left="8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9400" distB="234315" distL="0" distR="0" simplePos="0" relativeHeight="125829382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279400</wp:posOffset>
                </wp:positionV>
                <wp:extent cx="1572895" cy="21653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pt;margin-top:22.pt;width:123.85000000000001pt;height:17.050000000000001pt;z-index:-125829371;mso-wrap-distance-left:0;mso-wrap-distance-top:22.pt;mso-wrap-distance-right:0;mso-wrap-distance-bottom:18.4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665" distB="0" distL="0" distR="1807210" simplePos="0" relativeHeight="125829384" behindDoc="0" locked="0" layoutInCell="1" allowOverlap="1">
            <wp:simplePos x="0" y="0"/>
            <wp:positionH relativeFrom="page">
              <wp:posOffset>2680970</wp:posOffset>
            </wp:positionH>
            <wp:positionV relativeFrom="paragraph">
              <wp:posOffset>367665</wp:posOffset>
            </wp:positionV>
            <wp:extent cx="311150" cy="36576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440690</wp:posOffset>
                </wp:positionV>
                <wp:extent cx="1725295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3B3B3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05000000000001pt;margin-top:34.70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3B3B3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234315" distL="0" distR="0" simplePos="0" relativeHeight="125829385" behindDoc="0" locked="0" layoutInCell="1" allowOverlap="1">
                <wp:simplePos x="0" y="0"/>
                <wp:positionH relativeFrom="page">
                  <wp:posOffset>6235065</wp:posOffset>
                </wp:positionH>
                <wp:positionV relativeFrom="paragraph">
                  <wp:posOffset>279400</wp:posOffset>
                </wp:positionV>
                <wp:extent cx="953770" cy="21653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7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И.С. Болтенко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0.94999999999999pt;margin-top:22.pt;width:75.100000000000009pt;height:17.050000000000001pt;z-index:-125829368;mso-wrap-distance-left:0;mso-wrap-distance-top:22.pt;mso-wrap-distance-right:0;mso-wrap-distance-bottom:18.4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И.С. Болтенко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color w:val="E7E7E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Болтенко Ирина Сергеевна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>00Е09АВ2ЕВЕЕ2436А93С402924416В6580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06.09.2023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29.11.2024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16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2623185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461010</wp:posOffset>
                </wp:positionV>
                <wp:extent cx="1283335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65000000000001pt;margin-top:36.300000000000004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05000000000001pt;margin-top:11.8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О.И. Филатов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Филатов Олег Игоревич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>00ОАО033В13779Е83А47338В44373611А5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6232525</wp:posOffset>
                </wp:positionH>
                <wp:positionV relativeFrom="paragraph">
                  <wp:posOffset>304800</wp:posOffset>
                </wp:positionV>
                <wp:extent cx="960120" cy="219710"/>
                <wp:wrapSquare wrapText="lef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И.Ю. Затолюк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90.75pt;margin-top:24.pt;width:75.600000000000009pt;height:17.300000000000001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И.Ю. Затолюк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04.04.2025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color w:val="E7E7E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Затолюк Ирина Юрьевна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5ЕЕЗАА4ЕЕ507ССЕЗВ9В5746ОЕ40Е2О6С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02.10.2023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25.12.2024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30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9 статьи 106 Закона о контрактной системе, решение может быть обжаловано в судебном порядке в течение трех месяцев со дня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411" w:bottom="1110" w:left="82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10027920</wp:posOffset>
              </wp:positionV>
              <wp:extent cx="326771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77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4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2024-1246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89.60000000000002pt;width:257.30000000000001pt;height:7.9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4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2024-1246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2024-1246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2024-1246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Заголовок №2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Основной текст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52525"/>
      <w:sz w:val="11"/>
      <w:szCs w:val="11"/>
      <w:u w:val="none"/>
    </w:rPr>
  </w:style>
  <w:style w:type="character" w:customStyle="1" w:styleId="CharStyle24">
    <w:name w:val="Заголовок №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52525"/>
      <w:sz w:val="11"/>
      <w:szCs w:val="11"/>
      <w:u w:val="none"/>
    </w:rPr>
  </w:style>
  <w:style w:type="character" w:customStyle="1" w:styleId="CharStyle32">
    <w:name w:val="Основной текст (2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8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Заголовок №2"/>
    <w:basedOn w:val="Normal"/>
    <w:link w:val="CharStyle9"/>
    <w:pPr>
      <w:widowControl w:val="0"/>
      <w:shd w:val="clear" w:color="auto" w:fill="auto"/>
      <w:spacing w:after="320"/>
      <w:ind w:firstLine="1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auto"/>
      <w:spacing w:after="620" w:line="26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52525"/>
      <w:sz w:val="11"/>
      <w:szCs w:val="11"/>
      <w:u w:val="none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auto"/>
      <w:spacing w:after="260"/>
      <w:ind w:firstLine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spacing w:after="100"/>
      <w:ind w:left="40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52525"/>
      <w:sz w:val="11"/>
      <w:szCs w:val="11"/>
      <w:u w:val="none"/>
    </w:rPr>
  </w:style>
  <w:style w:type="paragraph" w:customStyle="1" w:styleId="Style31">
    <w:name w:val="Основной текст (2)"/>
    <w:basedOn w:val="Normal"/>
    <w:link w:val="CharStyle32"/>
    <w:pPr>
      <w:widowControl w:val="0"/>
      <w:shd w:val="clear" w:color="auto" w:fill="auto"/>
      <w:ind w:left="33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Федеральный закон от 27.07.2006 N 149-ФЗ(ред. от 12.12.2023)"Об информации, информационных технологиях и о защите информации"</dc:title>
  <dc:subject/>
  <dc:creator/>
  <cp:keywords/>
</cp:coreProperties>
</file>