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телефакс (4742) 27-14-82</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 §оу.ги 11йр://11ре1бк.Га8.доу.ги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7.03.2024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ИП/1299/2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«ИНЖЕНЕРНАЯ-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БЕЗОПАСНОСТЬ»</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ЕНС.ВЕ2Ж8Т@6МА1Ь.СОМ</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учреждение здравоохранения "Липецкая городская больница скорой медицинской помощи № 1"</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57" w:bottom="1231" w:left="1140" w:header="0" w:footer="3" w:gutter="0"/>
          <w:pgNumType w:start="1"/>
          <w:cols w:num="2" w:space="720" w:equalWidth="0">
            <w:col w:w="4224" w:space="1042"/>
            <w:col w:w="4738"/>
          </w:cols>
          <w:noEndnote/>
          <w:titlePg/>
          <w:rtlGutter w:val="0"/>
          <w:docGrid w:linePitch="360"/>
        </w:sectPr>
      </w:pPr>
      <w:r>
        <w:rPr>
          <w:color w:val="000000"/>
          <w:spacing w:val="0"/>
          <w:w w:val="100"/>
          <w:position w:val="0"/>
          <w:shd w:val="clear" w:color="auto" w:fill="auto"/>
          <w:lang w:val="ru-RU" w:eastAsia="ru-RU" w:bidi="ru-RU"/>
        </w:rPr>
        <w:t>о.а.кота^оVа@та^1.^и</w:t>
      </w:r>
    </w:p>
    <w:p>
      <w:pPr>
        <w:widowControl w:val="0"/>
        <w:spacing w:line="240" w:lineRule="exact"/>
        <w:rPr>
          <w:sz w:val="19"/>
          <w:szCs w:val="19"/>
        </w:rPr>
      </w:pPr>
    </w:p>
    <w:p>
      <w:pPr>
        <w:widowControl w:val="0"/>
        <w:spacing w:line="240" w:lineRule="exact"/>
        <w:rPr>
          <w:sz w:val="19"/>
          <w:szCs w:val="19"/>
        </w:rPr>
      </w:pP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83" w:right="0" w:bottom="1219"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 048/06/106-194/2024</w:t>
      </w:r>
    </w:p>
    <w:p>
      <w:pPr>
        <w:pStyle w:val="Style14"/>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6261735</wp:posOffset>
                </wp:positionH>
                <wp:positionV relativeFrom="paragraph">
                  <wp:posOffset>12700</wp:posOffset>
                </wp:positionV>
                <wp:extent cx="746760" cy="252730"/>
                <wp:wrapSquare wrapText="left"/>
                <wp:docPr id="5" name="Shape 5"/>
                <a:graphic xmlns:a="http://schemas.openxmlformats.org/drawingml/2006/main">
                  <a:graphicData uri="http://schemas.microsoft.com/office/word/2010/wordprocessingShape">
                    <wps:wsp>
                      <wps:cNvSpPr txBox="1"/>
                      <wps:spPr>
                        <a:xfrm>
                          <a:ext cx="74676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493.05000000000001pt;margin-top:1.pt;width:58.800000000000004pt;height:19.900000000000002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«04» марта 2024 года</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04.03.2024.</w:t>
      </w:r>
    </w:p>
    <w:p>
      <w:pPr>
        <w:pStyle w:val="Style14"/>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06.03.2024.</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Комиссии: И.В. Поткина - руководитель управления,</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С.С. Кажушко - ведущий специалист-эксперт отдела контроля закупок и торгов,</w:t>
      </w:r>
    </w:p>
    <w:p>
      <w:pPr>
        <w:pStyle w:val="Style14"/>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рассмотрев жалобу ООО «ИНЖЕНЕРНАЯ-БЕЗОПАСНОСТЬ» на действия государственного учреждения здравоохранения «Липецкая городская больница скорой медицинской помощи № 1» при проведении электронного аукциона на выполнение работ по подготовке проектной документации для монтажа новой системы автоматической пожарной сигнализации и системы оповещения управления эвакуации при пожаре в зданиях, расположенных по адресу г. Липецк, ул. Космонавтов, д. 39 (реестровый номер 0346300089424000014) (далее - электронный аукцион), а также другие документы (копии), представленные сторонами, а также проведя внеплановую проверку в соответствии со ст.99 Закона о контрактной системе и на основании приказа Липецкого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9"/>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ЕИС поступила жалоба ООО «ИНЖЕНЕРНАЯ-БЕЗОПАСНОСТЬ» (далее- заявитель) на действия государственного учреждения здравоохранения «Липецкая городская больница скорой медицинской помощи № 1» (далее -заказчик) при проведении электронного аукциона.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 Сведения о времени и месте ее рассмотрения размещены Липецким УФАС России в ЕИС.</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Заседание Комиссии проведено при участии посредством видеконференцсвязи представителей заказчика: Е.А. Мериновой (по доверенности), О.А. Комаровой (по доверенности).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жалобе заявителя указано, что им подавался запрос о разъяснении положений извещения о проведении закупки, состоящий из 5 вопросов. Однако, заказчик не учел указанные заявителем недостатки в извещении и не внес изменения в извещение о проведении закупки.</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Представители заказчика указали, что порядок предоставления разъяснений положений извещения о проведении закупки заказчиком не нарушен. Оснований для удовлетворения требований заявителя о внесении изменений в извещение у заказчика не имелось.</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в ЕИС 19.02.2024.</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20.02.2024, 21.02.2024, 22.02.2024, 26.02.2024, 01.03.2024 в ЕИС размещены изменения в извещение о проведении электронного аукциона, в том числе в связи с запросами участников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Исходя из доводов жалобы, заявителем подан запрос, на который заказчик 26.02.2024 разместил в ЕИС разъяснения положений извещения о проведении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Пункт №1 запроса заявителя сводится к тому, что заявитель просил опубликовать, предоставить актуальные планы БТИ (технические паспорта/планы помещений) объекта, в которых будет отражена актуальная конфигурация помещений, соответствующая действительной планировки (конфигурации помещений) объекта. Также просил указать в техническом задании и проекте контракта, что работы по контракту выполняются Подрядчиком на основании предоставленных Заказчиком актуальных планов БТИ (технических паспортов/планов объектов, помещений), согласно требованиям законодательства РФ. Просил указать в контракте, что предоставленные Заказчиком актуальные планы БТИ (технические паспорта/планы объектов, помещений) являются неотъемлемой частью контракта. Исходные данные, необходимые для выполнения работ, </w:t>
      </w:r>
      <w:r>
        <w:rPr>
          <w:color w:val="000000"/>
          <w:spacing w:val="0"/>
          <w:w w:val="100"/>
          <w:position w:val="0"/>
          <w:shd w:val="clear" w:color="auto" w:fill="auto"/>
          <w:lang w:val="ru-RU" w:eastAsia="ru-RU" w:bidi="ru-RU"/>
        </w:rPr>
        <w:t>предоставляет Заказчик. В случае необходимости Заказчик гарантирует предоставление недостающей (требуемой) информации или организует работу по сбору требуемой информации. Также заявитель просил исключить требование из документации о закупке в любых формулировках отовсюду где они могут встречаться, о выполнении любых обмерных работ по помещениям объекта, в том числе актуализации планов БТИ (технических паспортов/планов объектов, помещений).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разъяснил, что в техническом задании указаны площади, подлежащие оборудованию системами ПС и СОУЭ. Планы БТИ будут представлены той организации, которая выиграет торги, по данному пункту изменения вноситься не будут.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отмечает, что заказчик ответил на поставленные заявителем вопросы.</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Закон о контрактной системе не обязывает заказчика вносить изменения в связи с получением запроса участника о разъяснении положений извещения.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заказчик, не изменяя положений извещения о проведении закупки, разъяснил вопросы исполнения контракта и порядок предоставления документов, необходимых для выполнения работ.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Перечень видов работ заказчик определяет самостоятельно.</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Следует учесть, что Закон о контрактной системе не содержит требований о том, что описание объекта закупки на выполнение работ по подготовке проектной документации для монтажа системы автоматической пожарной сигнализации и системы оповещения управления эвакуации при пожаре должно содержать технические или кадастровые паспорта на помещения (здания).</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С учетом изложенного Комиссия не усматривает нарушений в действиях заказчика при предоставлении разъяснений по вопросу №1 запроса заявителя. Нарушений правил описания объекта закупки обозначенными заявителем действиями заказчика также не усмотрено.</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 №2 запроса заявителя связан с указанием заказчику на то, что срок оказания услуг является недостаточным и заявитель просил внести изменения в извещение в части установления срока - не менее 90 календарных дней.</w:t>
      </w:r>
    </w:p>
    <w:p>
      <w:pPr>
        <w:pStyle w:val="Style14"/>
        <w:keepNext w:val="0"/>
        <w:keepLines w:val="0"/>
        <w:widowControl w:val="0"/>
        <w:shd w:val="clear" w:color="auto" w:fill="auto"/>
        <w:bidi w:val="0"/>
        <w:spacing w:before="0" w:after="0" w:line="276" w:lineRule="auto"/>
        <w:ind w:left="0" w:right="0" w:firstLine="580"/>
        <w:jc w:val="both"/>
      </w:pPr>
      <w:r>
        <w:rPr>
          <w:color w:val="000000"/>
          <w:spacing w:val="0"/>
          <w:w w:val="100"/>
          <w:position w:val="0"/>
          <w:shd w:val="clear" w:color="auto" w:fill="auto"/>
          <w:lang w:val="ru-RU" w:eastAsia="ru-RU" w:bidi="ru-RU"/>
        </w:rPr>
        <w:t>Заказчик ответил на предложение заявителя, указав, что срок оказания услуг по контракту меняться не будет.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8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следующую информацию в том числе срок исполнения контракта (отдельных этапов исполнения контракта, если проектом контракта предусмотрены такие этапы).</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Возможность устанавливать условия выполнения работ,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Соответственно заказчик вправе установить такие условия выполнения работ, которые отвечают его потребностям и необходимы для выполнения соответствующих государственных функций.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учитывая, что законом не установлены конкретные сроки для выполнения работ по конкретным видам работ, заказчик, исходя из своих потребностей, самостоятельно определяет указанные сроки.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Приведенный заявителем в запросе приказ Минрегиона России от 29.12.2009 К 620 не устанавливает сроки выполнения работ, закупаемых заказчиком, а утверждает в качестве государственного сметного норматива Методические указания по применению справочников базовых цен на проектные работы в строительстве.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Доказательств, свидетельствующих о том, что содержащиеся в извещении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 либо образом необоснованно повлекли за собой ограничение количества участников, заявителем представлено не было.</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Отсутствие у лиц, заинтересованных в заключении контракта, возможности выполнить работы на условиях, соответствующих потребностям заказчика, не свидетельствует о нарушении заказчиком прав этих лиц, а также ограничении заказчиком числа участников закупки.</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Комиссия приходит к выводу, что установленный заказчиком срок выполнения работ не противоречит требованиям действующего 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п. №3 запроса заявитель просил заказчика исключить прохождение государственных экспертиз из срока выполнения работ исполнителем и указать, что заказчик за свой счет проводит государственные экспертизы проектной, рабочей, сметной документации до момента положительного заключения.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ответ на данный вопрос заказчик сообщил, что по данному вопросу в документацию будут внесены изменения.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в п. №4 запроса заявитель просил заказчика установить требование, что Исполнитель обеспечивает выполнение работ своими работниками, имеющими соответствующую аттестацию в области пожарной безопасности. Разработчик рабочей и/или проектной документации должен иметь в своём штате аттестованное лицо для проектирования средств обеспечения пожарной безопасности зданий и сооружений, которые введены в эксплуатацию. Данное лицо должно находиться в официальном реестре аттестованных лиц МЧС. Для проверки соответствия данного требования, Участник закупки обязан предоставить Заказчику действующий аттестат.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 п. №4 запроса заявителя заказчика указал, что требования о прохождении экспертиз и получении «положительных результатов экспертиз» на разрабатываемую документацию исключены не будут.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Комиссии представители заказчика пояснили, что ответы на вопросы заявителя были перепутаны - ответ на п. №3 запроса содержится в ответе на вопрос №4, а ответ на п. №4 запроса содержится в ответе на вопрос №3.</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5 ст. 42 Закона о контрактной системе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предоставленные заказчиком разъяснения положений извещения о проведении закупки по пунктам №3-4 не соотносятся с приведенными заказчиком запросами заявителя. Участник не должен искать в тексте разъяснений ответы на свои вопросы.</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этой связи Комиссия считает, что заказчиком допущено нарушение порядка предоставления разъяснений положений извещения о проведении закупки, ч. 5 ст. 42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Также Комиссии отмечает, что ч. 3 ст. 110.2 Закона о контрактной системе предусмотрено, что результатом выполненной работы по контракту, предметом которого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 В случае, если в соответствии с Градостроительным кодексом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Комиссии установлено, что разрабатываемая в рамках исполнения контракта документация может быть использована заказчиком только в случае получения положительного заключения предусмотренной им экспертизы.</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Контракт будет заключаться не по поводу собственно проектных работ как деятельности подрядчика, а направлен на достижение ее результата, пригодного для использования по назначению, включающего наряду с проектной документацией положительное заключение экспертизы.</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заказчик не может считаться нарушившим требования Закона о контрактной системе при установлении требований о проведении необходимой заказчику экспертизы.</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Относительно обозначенных в п. 4 запроса заявителя требований к заказчику установлено, что в извещении о проведении требовании закупки содержатся требования по п. 1 ч. 1 ст. 31 Закона о контрактной системе - об аттестации лиц на право проектирования средств обеспечения пожарной безопасности зданий и сооружений, которые введены в эксплуатацию, в соответствии с Постановлением</w:t>
      </w:r>
    </w:p>
    <w:p>
      <w:pPr>
        <w:pStyle w:val="Style14"/>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Правительства Российской Федерации № 2106 от 30.11.2021.</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п. №5 запроса о разъяснении положений извещения о проведении закупки заявитель указал на необходимость установления требования к участникам о наличии членства в саморегулируемой организации в области архитектурно</w:t>
        <w:softHyphen/>
        <w:t>строительного проектирования.</w:t>
      </w:r>
    </w:p>
    <w:p>
      <w:pPr>
        <w:pStyle w:val="Style14"/>
        <w:keepNext w:val="0"/>
        <w:keepLines w:val="0"/>
        <w:widowControl w:val="0"/>
        <w:shd w:val="clear" w:color="auto" w:fill="auto"/>
        <w:bidi w:val="0"/>
        <w:spacing w:before="0" w:after="0" w:line="276" w:lineRule="auto"/>
        <w:ind w:left="0" w:right="0" w:firstLine="580"/>
        <w:jc w:val="both"/>
      </w:pPr>
      <w:r>
        <w:rPr>
          <w:color w:val="000000"/>
          <w:spacing w:val="0"/>
          <w:w w:val="100"/>
          <w:position w:val="0"/>
          <w:shd w:val="clear" w:color="auto" w:fill="auto"/>
          <w:lang w:val="ru-RU" w:eastAsia="ru-RU" w:bidi="ru-RU"/>
        </w:rPr>
        <w:t>Заказчик разъяснил заявителю, что данное требование применимо для новостроящихся объектов.</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Комиссия приходит к выводу, что обозначенное заявителем требование к участникам подлежит установлению в извещении о проведении закупки, исходя из объекта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 из приведенного заказчиком описания объекта закупки следует, что проектная документация подлежит разработке в целях проведения капитального ремонта автоматической пожарной сигнализации и системы оповещения и управления эвакуацией людей при пожаре в зданиях заказчика.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 1 ст. 48 Градостроительного кодекса Российской Федерации (далее - ГрК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"РБ",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статьи 48 ГрК РФ.</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2 ст. 48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Частью 1 статьи 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w:t>
      </w:r>
      <w:r>
        <w:rPr>
          <w:color w:val="000000"/>
          <w:spacing w:val="0"/>
          <w:w w:val="100"/>
          <w:position w:val="0"/>
          <w:shd w:val="clear" w:color="auto" w:fill="auto"/>
          <w:lang w:val="ru-RU" w:eastAsia="ru-RU" w:bidi="ru-RU"/>
        </w:rPr>
        <w:t>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 8 ст. 55.5 ГрК РФ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исходя положений ч. 1 и ч. 2 ст. 48 ГрК РФ архитектурно</w:t>
        <w:softHyphen/>
        <w:t>строительное проектирование осуществляется в отношении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земельного участка, а также при проведении капитального ремонта объекта капитального строительства.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 14.2 ст. 1 ГрК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21 ч. 2 ст. 2 Федерального закона от 30.12.2009 К 384-ФЗ "Технический регламент о безопасности зданий и сооружений" система инженерно</w:t>
        <w:softHyphen/>
        <w:t>технического обеспечения - это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электрообеспечения, связи, информатизации, диспетчеризации, мусороудаления, вертикального транспорта (лифты, эскалаторы) или функций обеспечения безопасности".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Системы видеонаблюдения, охранной и пожарной сигнализации, системы автоматического газового пожаротушения, фотолюминисцентные эвакуационные системы, устройства электронные проходные в соответствии с Федеральным законом от 30.12.2009 г. К 384-ФЗ "Технический регламент о безопасности зданий и сооружений" относятся к системам инженерно-технического обеспечения объекта капитального строительства (письмо Министерства строительства Российской Федерации от 06.09.2021 г. Ы 37970-ОД/08).</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пп. 4, 5, 18, 30, 42, 49, 54 и 59 части 1 статьи 93 Закона о контрактной системе, заказчик устанавливает следующие единые требования к участникам закупки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контрактной системе (при наличии такого требования).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Исходя из предмета закупки, учитывая положения ГрК РФ, Комиссия приходит к выводу, что в действиях заказчика, не установившего в извещении требование к участникам о наличии членства в саморегулируемой организации в области архитектурно-строительного проектирования, содержатся нарушения п. 12 ч. 1 ст. 42 Закона о контрактной системе.</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При этом следует обратить внимание, что никакими документами такое членство участникам подтверждать не требуется.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проведении внеплановой проверки в действиях заказчика установлено нарушение п. 12 ч. 1 ст. 42 Закона о контрактной системе, которое заключается в следующем.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Как было указано ранее, в извещении о проведении требовании закупки содержатся требования к участникам закупки по п. 1 ч. 1 ст. 31 Закона о контрактной системе - об аттестации лиц на право проектирования средств обеспечения пожарной безопасности зданий и сооружений, которые введены в эксплуатацию, в соответствии с Постановлением Правительства Российской Федерации № 2106 от 30.11.2021.</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Российской Федерации от 30.11.2021 К 2106 "О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 установлены правила аттестации физических лиц на право проектирования средств обеспечения пожарной безопасности зданий и сооружений, которые введены в эксплуатацию (далее также - Правила).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пунктом 3 Правил аттестация проводится в отношении физических лиц, имеющих намерение получить право на проектирование средств </w:t>
      </w:r>
      <w:r>
        <w:rPr>
          <w:color w:val="000000"/>
          <w:spacing w:val="0"/>
          <w:w w:val="100"/>
          <w:position w:val="0"/>
          <w:shd w:val="clear" w:color="auto" w:fill="auto"/>
          <w:lang w:val="ru-RU" w:eastAsia="ru-RU" w:bidi="ru-RU"/>
        </w:rPr>
        <w:t>обеспечения пожарной безопасности зданий и сооружений, которые введены в эксплуатацию (далее соответственно - претендент, аттестуемая деятельность).</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пункта 26 Правил запись в реестре аттестованных лиц признается квалификационным аттестатом и является специальным разрешением на право осуществления аттестуемой деятельности.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из положений Правил следует, что аттестацию на право проектирования средств обеспечения пожарной безопасности зданий и сооружений, которые введены в эксплуатацию проходят только физические лица, запись в реестре аттестованных лиц вносится в отношении физического лица, успешно прошедшего аттестацию.</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Положения как самого Постановления К 2106, так и Правил применяются в отношении только физических лиц, в то время как участниками закупки могут являются юридические лица.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 полученных от оператора электронной площадки сведений о поступивших на участие в электронном аукционе заявках следует, что все участники закупки являются юридическими лицами.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Комиссия приходит к выводу, что требования, содержащиеся в Постановлении К 2106, не относятся к требованиям к участникам рассматриваемой закупки. Заказчик в данном случае, их установив, допустил нарушение п. 12 ч. 1 ст. 42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необходимым будет являться установление заказчиком требования о соблюдении подрядчиком при исполнении обязательств по контракту положений Постановления К 2106. Допустимым является установление обязанности подрядчика по предоставлению в установленный контрактом срок документов, подтверждающих соблюдение требований Постановления К 2106.</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Установленные нарушения ст. 42 Закона о контрактной системе содержат признаки совершения административного правонарушения, предусмотренного ч. 1.4 ст. 7.30 КоАП РФ.</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Руководствуясь ст.ст. 99, 105, 106 Закона о контрактной системе, Комиссия</w:t>
      </w: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4"/>
        <w:keepNext w:val="0"/>
        <w:keepLines w:val="0"/>
        <w:widowControl w:val="0"/>
        <w:numPr>
          <w:ilvl w:val="0"/>
          <w:numId w:val="1"/>
        </w:numPr>
        <w:shd w:val="clear" w:color="auto" w:fill="auto"/>
        <w:tabs>
          <w:tab w:pos="936" w:val="left"/>
        </w:tabs>
        <w:bidi w:val="0"/>
        <w:spacing w:before="0" w:after="280" w:line="240" w:lineRule="auto"/>
        <w:ind w:left="0" w:right="0" w:firstLine="580"/>
        <w:jc w:val="both"/>
      </w:pPr>
      <w:r>
        <w:rPr>
          <w:color w:val="000000"/>
          <w:spacing w:val="0"/>
          <w:w w:val="100"/>
          <w:position w:val="0"/>
          <w:shd w:val="clear" w:color="auto" w:fill="auto"/>
          <w:lang w:val="ru-RU" w:eastAsia="ru-RU" w:bidi="ru-RU"/>
        </w:rPr>
        <w:t>Признать жалобу ООО «ИНЖЕНЕРНАЯ-БЕЗОПАСНОСТЬ» на действия государственного учреждения здравоохранения «Липецкая городская больница скорой медицинской помощи № 1» при проведении электронного аукциона на выполнение работ по подготовке проектной документации для монтажа новой системы автоматической пожарной сигнализации и системы оповещения управления эвакуации при пожаре в зданиях, расположенных по адресу г. Липецк, ул. Космонавтов, д. 39 (реестровый номер 0346300089424000014) обоснованной в части доводов: о неправомерном не установлении требования к участникам о наличии членства в саморегулируемой организации в области архитектурно-строительного проектирования; о непредставлении надлежащих разъяснений положений извещения о проведении закупки по п.п. №№3-4 запроса заявителя.</w:t>
      </w:r>
      <w:r>
        <w:br w:type="page"/>
      </w:r>
    </w:p>
    <w:p>
      <w:pPr>
        <w:pStyle w:val="Style14"/>
        <w:keepNext w:val="0"/>
        <w:keepLines w:val="0"/>
        <w:widowControl w:val="0"/>
        <w:numPr>
          <w:ilvl w:val="0"/>
          <w:numId w:val="1"/>
        </w:numPr>
        <w:shd w:val="clear" w:color="auto" w:fill="auto"/>
        <w:tabs>
          <w:tab w:pos="95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заказчика установлены нарушения п. 12 ч. 1, ч. 5 ст. 42 Закона о контрактной системе.</w:t>
      </w:r>
    </w:p>
    <w:p>
      <w:pPr>
        <w:pStyle w:val="Style14"/>
        <w:keepNext w:val="0"/>
        <w:keepLines w:val="0"/>
        <w:widowControl w:val="0"/>
        <w:numPr>
          <w:ilvl w:val="0"/>
          <w:numId w:val="1"/>
        </w:numPr>
        <w:shd w:val="clear" w:color="auto" w:fill="auto"/>
        <w:tabs>
          <w:tab w:pos="151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предписание об устранении нарушений.</w:t>
      </w:r>
    </w:p>
    <w:p>
      <w:pPr>
        <w:pStyle w:val="Style14"/>
        <w:keepNext w:val="0"/>
        <w:keepLines w:val="0"/>
        <w:widowControl w:val="0"/>
        <w:numPr>
          <w:ilvl w:val="0"/>
          <w:numId w:val="1"/>
        </w:numPr>
        <w:shd w:val="clear" w:color="auto" w:fill="auto"/>
        <w:tabs>
          <w:tab w:pos="95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1083" w:right="531" w:bottom="1219" w:left="1097" w:header="0" w:footer="3" w:gutter="0"/>
          <w:cols w:space="720"/>
          <w:noEndnote/>
          <w:rtlGutter w:val="0"/>
          <w:docGrid w:linePitch="360"/>
        </w:sectPr>
      </w:pPr>
      <w:r>
        <mc:AlternateContent>
          <mc:Choice Requires="wps">
            <w:drawing>
              <wp:anchor distT="304800" distB="201295" distL="0" distR="0" simplePos="0" relativeHeight="125829380" behindDoc="0" locked="0" layoutInCell="1" allowOverlap="1">
                <wp:simplePos x="0" y="0"/>
                <wp:positionH relativeFrom="page">
                  <wp:posOffset>735965</wp:posOffset>
                </wp:positionH>
                <wp:positionV relativeFrom="paragraph">
                  <wp:posOffset>304800</wp:posOffset>
                </wp:positionV>
                <wp:extent cx="1908175" cy="252730"/>
                <wp:wrapTopAndBottom/>
                <wp:docPr id="7" name="Shape 7"/>
                <a:graphic xmlns:a="http://schemas.openxmlformats.org/drawingml/2006/main">
                  <a:graphicData uri="http://schemas.microsoft.com/office/word/2010/wordprocessingShape">
                    <wps:wsp>
                      <wps:cNvSpPr txBox="1"/>
                      <wps:spPr>
                        <a:xfrm>
                          <a:ext cx="190817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24.pt;width:150.25pt;height:19.900000000000002pt;z-index:-125829373;mso-wrap-distance-left:0;mso-wrap-distance-top:24.pt;mso-wrap-distance-right:0;mso-wrap-distance-bottom:15.8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96240" distB="0" distL="0" distR="1807210" simplePos="0" relativeHeight="125829382" behindDoc="0" locked="0" layoutInCell="1" allowOverlap="1">
            <wp:simplePos x="0" y="0"/>
            <wp:positionH relativeFrom="page">
              <wp:posOffset>2827020</wp:posOffset>
            </wp:positionH>
            <wp:positionV relativeFrom="paragraph">
              <wp:posOffset>396240</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3220085</wp:posOffset>
                </wp:positionH>
                <wp:positionV relativeFrom="paragraph">
                  <wp:posOffset>466090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53.55000000000001pt;margin-top:36.700000000000003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201295" distL="0" distR="0" simplePos="0" relativeHeight="125829383" behindDoc="0" locked="0" layoutInCell="1" allowOverlap="1">
                <wp:simplePos x="0" y="0"/>
                <wp:positionH relativeFrom="page">
                  <wp:posOffset>6127750</wp:posOffset>
                </wp:positionH>
                <wp:positionV relativeFrom="paragraph">
                  <wp:posOffset>304800</wp:posOffset>
                </wp:positionV>
                <wp:extent cx="1063625" cy="252730"/>
                <wp:wrapTopAndBottom/>
                <wp:docPr id="13" name="Shape 13"/>
                <a:graphic xmlns:a="http://schemas.openxmlformats.org/drawingml/2006/main">
                  <a:graphicData uri="http://schemas.microsoft.com/office/word/2010/wordprocessingShape">
                    <wps:wsp>
                      <wps:cNvSpPr txBox="1"/>
                      <wps:spPr>
                        <a:xfrm>
                          <a:ext cx="106362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9" type="#_x0000_t202" style="position:absolute;margin-left:482.5pt;margin-top:24.pt;width:83.75pt;height:19.900000000000002pt;z-index:-125829370;mso-wrap-distance-left:0;mso-wrap-distance-top:24.pt;mso-wrap-distance-right:0;mso-wrap-distance-bottom:15.8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Поткина Ирина Владимировна</w:t>
      </w:r>
    </w:p>
    <w:p>
      <w:pPr>
        <w:pStyle w:val="Style23"/>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673240291</w:t>
      </w:r>
      <w:r>
        <w:rPr>
          <w:spacing w:val="0"/>
          <w:w w:val="100"/>
          <w:position w:val="0"/>
          <w:shd w:val="clear" w:color="auto" w:fill="auto"/>
          <w:lang w:val="ru-RU" w:eastAsia="ru-RU" w:bidi="ru-RU"/>
        </w:rPr>
        <w:t>АЕА7253В03А8ОЕ063791540</w:t>
      </w:r>
    </w:p>
    <w:p>
      <w:pPr>
        <w:pStyle w:val="Style23"/>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21.12.2022 по 15.03.2024</w:t>
      </w:r>
    </w:p>
    <w:p>
      <w:pPr>
        <w:pStyle w:val="Style14"/>
        <w:keepNext w:val="0"/>
        <w:keepLines w:val="0"/>
        <w:widowControl w:val="0"/>
        <w:shd w:val="clear" w:color="auto" w:fill="auto"/>
        <w:bidi w:val="0"/>
        <w:spacing w:before="0" w:after="0" w:line="240" w:lineRule="auto"/>
        <w:ind w:left="0" w:right="0" w:firstLine="0"/>
        <w:jc w:val="left"/>
      </w:pPr>
      <w:r>
        <w:drawing>
          <wp:anchor distT="91440" distB="0" distL="114300" distR="4168140" simplePos="0" relativeHeight="125829385" behindDoc="0" locked="0" layoutInCell="1" allowOverlap="1">
            <wp:simplePos x="0" y="0"/>
            <wp:positionH relativeFrom="page">
              <wp:posOffset>2827020</wp:posOffset>
            </wp:positionH>
            <wp:positionV relativeFrom="paragraph">
              <wp:posOffset>104140</wp:posOffset>
            </wp:positionV>
            <wp:extent cx="311150" cy="365760"/>
            <wp:wrapSquare wrapText="lef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3220085</wp:posOffset>
                </wp:positionH>
                <wp:positionV relativeFrom="paragraph">
                  <wp:posOffset>177165</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3.55000000000001pt;margin-top:13.950000000000001pt;width:135.84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203835" distL="3305810" distR="114300" simplePos="0" relativeHeight="125829386" behindDoc="0" locked="0" layoutInCell="1" allowOverlap="1">
                <wp:simplePos x="0" y="0"/>
                <wp:positionH relativeFrom="page">
                  <wp:posOffset>6018530</wp:posOffset>
                </wp:positionH>
                <wp:positionV relativeFrom="paragraph">
                  <wp:posOffset>12700</wp:posOffset>
                </wp:positionV>
                <wp:extent cx="1173480" cy="250190"/>
                <wp:wrapSquare wrapText="left"/>
                <wp:docPr id="19" name="Shape 19"/>
                <a:graphic xmlns:a="http://schemas.openxmlformats.org/drawingml/2006/main">
                  <a:graphicData uri="http://schemas.microsoft.com/office/word/2010/wordprocessingShape">
                    <wps:wsp>
                      <wps:cNvSpPr txBox="1"/>
                      <wps:spPr>
                        <a:xfrm>
                          <a:ext cx="11734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5" type="#_x0000_t202" style="position:absolute;margin-left:473.90000000000003pt;margin-top:1.pt;width:92.400000000000006pt;height:19.699999999999999pt;z-index:-125829367;mso-wrap-distance-left:260.30000000000001pt;mso-wrap-distance-right:9.pt;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square" side="left" anchorx="page"/>
              </v:shape>
            </w:pict>
          </mc:Fallback>
        </mc:AlternateContent>
      </w:r>
      <w:r>
        <mc:AlternateContent>
          <mc:Choice Requires="wps">
            <w:drawing>
              <wp:anchor distT="0" distB="0" distL="114300" distR="114300" simplePos="0" relativeHeight="125829388" behindDoc="0" locked="0" layoutInCell="1" allowOverlap="1">
                <wp:simplePos x="0" y="0"/>
                <wp:positionH relativeFrom="page">
                  <wp:posOffset>739140</wp:posOffset>
                </wp:positionH>
                <wp:positionV relativeFrom="paragraph">
                  <wp:posOffset>241300</wp:posOffset>
                </wp:positionV>
                <wp:extent cx="1871345" cy="231775"/>
                <wp:wrapTopAndBottom/>
                <wp:docPr id="21" name="Shape 21"/>
                <a:graphic xmlns:a="http://schemas.openxmlformats.org/drawingml/2006/main">
                  <a:graphicData uri="http://schemas.microsoft.com/office/word/2010/wordprocessingShape">
                    <wps:wsp>
                      <wps:cNvSpPr txBox="1"/>
                      <wps:spPr>
                        <a:xfrm>
                          <a:ext cx="1871345" cy="2317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xbxContent>
                      </wps:txbx>
                      <wps:bodyPr wrap="none" lIns="0" tIns="0" rIns="0" bIns="0">
                        <a:noAutoFit/>
                      </wps:bodyPr>
                    </wps:wsp>
                  </a:graphicData>
                </a:graphic>
              </wp:anchor>
            </w:drawing>
          </mc:Choice>
          <mc:Fallback>
            <w:pict>
              <v:shape id="_x0000_s1047" type="#_x0000_t202" style="position:absolute;margin-left:58.200000000000003pt;margin-top:19.pt;width:147.34999999999999pt;height:18.25pt;z-index:-12582936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xbxContent>
                </v:textbox>
                <w10:wrap type="topAndBottom" anchorx="page"/>
              </v:shape>
            </w:pict>
          </mc:Fallback>
        </mc:AlternateContent>
      </w:r>
      <w:r>
        <w:rPr>
          <w:color w:val="000000"/>
          <w:spacing w:val="0"/>
          <w:w w:val="100"/>
          <w:position w:val="0"/>
          <w:shd w:val="clear" w:color="auto" w:fill="auto"/>
          <w:lang w:val="ru-RU" w:eastAsia="ru-RU" w:bidi="ru-RU"/>
        </w:rPr>
        <w:t>Заместитель</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8E8E8"/>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Ролдугина Татьяна Николаевна</w:t>
      </w:r>
    </w:p>
    <w:p>
      <w:pPr>
        <w:pStyle w:val="Style23"/>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00АБА04Е6СЭАС8В1Б53СБ77С7В2АС0Б8</w:t>
      </w:r>
      <w:r>
        <w:rPr>
          <w:color w:val="272727"/>
          <w:spacing w:val="0"/>
          <w:w w:val="100"/>
          <w:position w:val="0"/>
          <w:shd w:val="clear" w:color="auto" w:fill="auto"/>
          <w:lang w:val="ru-RU" w:eastAsia="ru-RU" w:bidi="ru-RU"/>
        </w:rPr>
        <w:t>С</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11.01.2023 по 05.04.2024</w:t>
      </w:r>
    </w:p>
    <w:p>
      <w:pPr>
        <w:widowControl w:val="0"/>
        <w:spacing w:line="1" w:lineRule="exact"/>
      </w:pPr>
      <w:r>
        <mc:AlternateContent>
          <mc:Choice Requires="wps">
            <w:drawing>
              <wp:anchor distT="88900" distB="219075" distL="0" distR="0" simplePos="0" relativeHeight="125829390" behindDoc="0" locked="0" layoutInCell="1" allowOverlap="1">
                <wp:simplePos x="0" y="0"/>
                <wp:positionH relativeFrom="page">
                  <wp:posOffset>735965</wp:posOffset>
                </wp:positionH>
                <wp:positionV relativeFrom="paragraph">
                  <wp:posOffset>88900</wp:posOffset>
                </wp:positionV>
                <wp:extent cx="1252855" cy="250190"/>
                <wp:wrapTopAndBottom/>
                <wp:docPr id="23" name="Shape 23"/>
                <a:graphic xmlns:a="http://schemas.openxmlformats.org/drawingml/2006/main">
                  <a:graphicData uri="http://schemas.microsoft.com/office/word/2010/wordprocessingShape">
                    <wps:wsp>
                      <wps:cNvSpPr txBox="1"/>
                      <wps:spPr>
                        <a:xfrm>
                          <a:ext cx="125285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7.pt;width:98.650000000000006pt;height:19.699999999999999pt;z-index:-125829363;mso-wrap-distance-left:0;mso-wrap-distance-top:7.pt;mso-wrap-distance-right:0;mso-wrap-distance-bottom:17.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w:drawing>
          <wp:anchor distT="158750" distB="0" distL="0" distR="1789430" simplePos="0" relativeHeight="125829392" behindDoc="0" locked="0" layoutInCell="1" allowOverlap="1">
            <wp:simplePos x="0" y="0"/>
            <wp:positionH relativeFrom="page">
              <wp:posOffset>2802255</wp:posOffset>
            </wp:positionH>
            <wp:positionV relativeFrom="paragraph">
              <wp:posOffset>158750</wp:posOffset>
            </wp:positionV>
            <wp:extent cx="353695" cy="40259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53695"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3220085</wp:posOffset>
                </wp:positionH>
                <wp:positionV relativeFrom="paragraph">
                  <wp:posOffset>250190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53.55000000000001pt;margin-top:19.699999999999999pt;width:135.84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9075" distL="0" distR="0" simplePos="0" relativeHeight="125829393" behindDoc="0" locked="0" layoutInCell="1" allowOverlap="1">
                <wp:simplePos x="0" y="0"/>
                <wp:positionH relativeFrom="page">
                  <wp:posOffset>6082030</wp:posOffset>
                </wp:positionH>
                <wp:positionV relativeFrom="paragraph">
                  <wp:posOffset>88900</wp:posOffset>
                </wp:positionV>
                <wp:extent cx="1103630" cy="250190"/>
                <wp:wrapTopAndBottom/>
                <wp:docPr id="29" name="Shape 29"/>
                <a:graphic xmlns:a="http://schemas.openxmlformats.org/drawingml/2006/main">
                  <a:graphicData uri="http://schemas.microsoft.com/office/word/2010/wordprocessingShape">
                    <wps:wsp>
                      <wps:cNvSpPr txBox="1"/>
                      <wps:spPr>
                        <a:xfrm>
                          <a:ext cx="110363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55" type="#_x0000_t202" style="position:absolute;margin-left:478.90000000000003pt;margin-top:7.pt;width:86.900000000000006pt;height:19.699999999999999pt;z-index:-125829360;mso-wrap-distance-left:0;mso-wrap-distance-top:7.pt;mso-wrap-distance-right:0;mso-wrap-distance-bottom:17.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3"/>
        <w:keepNext w:val="0"/>
        <w:keepLines w:val="0"/>
        <w:widowControl w:val="0"/>
        <w:shd w:val="clear" w:color="auto" w:fill="auto"/>
        <w:bidi w:val="0"/>
        <w:spacing w:before="0" w:after="0" w:line="240" w:lineRule="auto"/>
        <w:ind w:left="334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Кажушко Светлана Сергеевна</w:t>
      </w:r>
    </w:p>
    <w:p>
      <w:pPr>
        <w:pStyle w:val="Style23"/>
        <w:keepNext w:val="0"/>
        <w:keepLines w:val="0"/>
        <w:widowControl w:val="0"/>
        <w:shd w:val="clear" w:color="auto" w:fill="auto"/>
        <w:bidi w:val="0"/>
        <w:spacing w:before="0" w:after="0" w:line="240" w:lineRule="auto"/>
        <w:ind w:left="3340"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00АВС2Е190612А76862О939О483О52ЕА38</w:t>
      </w:r>
    </w:p>
    <w:p>
      <w:pPr>
        <w:pStyle w:val="Style23"/>
        <w:keepNext w:val="0"/>
        <w:keepLines w:val="0"/>
        <w:widowControl w:val="0"/>
        <w:shd w:val="clear" w:color="auto" w:fill="auto"/>
        <w:bidi w:val="0"/>
        <w:spacing w:before="0" w:after="60" w:line="240" w:lineRule="auto"/>
        <w:ind w:left="334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F3F3F"/>
          <w:spacing w:val="0"/>
          <w:w w:val="100"/>
          <w:position w:val="0"/>
          <w:shd w:val="clear" w:color="auto" w:fill="auto"/>
          <w:lang w:val="ru-RU" w:eastAsia="ru-RU" w:bidi="ru-RU"/>
        </w:rPr>
        <w:t xml:space="preserve">07.02.2024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sectPr>
      <w:footnotePr>
        <w:pos w:val="pageBottom"/>
        <w:numFmt w:val="decimal"/>
        <w:numRestart w:val="continuous"/>
      </w:footnotePr>
      <w:type w:val="continuous"/>
      <w:pgSz w:w="11900" w:h="16840"/>
      <w:pgMar w:top="1105" w:right="551" w:bottom="7404"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2024-1724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2024-1724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2024-1724</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2024-1724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2">
    <w:name w:val="Основной текст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36363"/>
      <w:sz w:val="12"/>
      <w:szCs w:val="12"/>
      <w:u w:val="none"/>
    </w:rPr>
  </w:style>
  <w:style w:type="paragraph" w:customStyle="1" w:styleId="Style2">
    <w:name w:val="Основной текст (3)"/>
    <w:basedOn w:val="Normal"/>
    <w:link w:val="CharStyle3"/>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1">
    <w:name w:val="Основной текст (4)"/>
    <w:basedOn w:val="Normal"/>
    <w:link w:val="CharStyle22"/>
    <w:pPr>
      <w:widowControl w:val="0"/>
      <w:shd w:val="clear" w:color="auto" w:fill="auto"/>
      <w:spacing w:after="100"/>
      <w:ind w:left="4040"/>
    </w:pPr>
    <w:rPr>
      <w:rFonts w:ascii="Georgia" w:eastAsia="Georgia" w:hAnsi="Georgia" w:cs="Georgia"/>
      <w:b w:val="0"/>
      <w:bCs w:val="0"/>
      <w:i w:val="0"/>
      <w:iCs w:val="0"/>
      <w:smallCaps w:val="0"/>
      <w:strike w:val="0"/>
      <w:color w:val="EBEBEB"/>
      <w:sz w:val="12"/>
      <w:szCs w:val="12"/>
      <w:u w:val="none"/>
    </w:rPr>
  </w:style>
  <w:style w:type="paragraph" w:customStyle="1" w:styleId="Style23">
    <w:name w:val="Основной текст (2)"/>
    <w:basedOn w:val="Normal"/>
    <w:link w:val="CharStyle24"/>
    <w:pPr>
      <w:widowControl w:val="0"/>
      <w:shd w:val="clear" w:color="auto" w:fill="auto"/>
      <w:ind w:left="3320"/>
    </w:pPr>
    <w:rPr>
      <w:rFonts w:ascii="Arial" w:eastAsia="Arial" w:hAnsi="Arial" w:cs="Arial"/>
      <w:b w:val="0"/>
      <w:bCs w:val="0"/>
      <w:i w:val="0"/>
      <w:iCs w:val="0"/>
      <w:smallCaps w:val="0"/>
      <w:strike w:val="0"/>
      <w:color w:val="63636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