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79120" cy="5791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79120" cy="579120"/>
                    </a:xfrm>
                    <a:prstGeom prst="rect"/>
                  </pic:spPr>
                </pic:pic>
              </a:graphicData>
            </a:graphic>
          </wp:inline>
        </w:drawing>
      </w:r>
    </w:p>
    <w:p>
      <w:pPr>
        <w:widowControl w:val="0"/>
        <w:spacing w:after="179" w:line="1" w:lineRule="exact"/>
      </w:pPr>
    </w:p>
    <w:p>
      <w:pPr>
        <w:pStyle w:val="Style11"/>
        <w:keepNext/>
        <w:keepLines/>
        <w:widowControl w:val="0"/>
        <w:shd w:val="clear" w:color="auto" w:fill="auto"/>
        <w:bidi w:val="0"/>
        <w:spacing w:before="0" w:after="0" w:line="240" w:lineRule="auto"/>
        <w:ind w:left="0" w:right="0" w:firstLine="0"/>
        <w:jc w:val="center"/>
      </w:pPr>
      <w:bookmarkStart w:id="2" w:name="bookmark2"/>
      <w:r>
        <w:rPr>
          <w:spacing w:val="0"/>
          <w:w w:val="100"/>
          <w:position w:val="0"/>
          <w:shd w:val="clear" w:color="auto" w:fill="auto"/>
          <w:lang w:val="ru-RU" w:eastAsia="ru-RU" w:bidi="ru-RU"/>
        </w:rPr>
        <w:t>ФЕДЕРАЛЬНАЯ АНТИМОНОПОЛЬНАЯ СЛУЖБА</w:t>
      </w:r>
      <w:bookmarkEnd w:id="2"/>
    </w:p>
    <w:p>
      <w:pPr>
        <w:pStyle w:val="Style11"/>
        <w:keepNext/>
        <w:keepLines/>
        <w:widowControl w:val="0"/>
        <w:shd w:val="clear" w:color="auto" w:fill="auto"/>
        <w:bidi w:val="0"/>
        <w:spacing w:before="0" w:after="0" w:line="240" w:lineRule="auto"/>
        <w:ind w:left="0" w:right="0" w:firstLine="0"/>
        <w:jc w:val="center"/>
      </w:pPr>
      <w:bookmarkStart w:id="4" w:name="bookmark4"/>
      <w:r>
        <w:rPr>
          <w:spacing w:val="0"/>
          <w:w w:val="100"/>
          <w:position w:val="0"/>
          <w:shd w:val="clear" w:color="auto" w:fill="auto"/>
          <w:lang w:val="ru-RU" w:eastAsia="ru-RU" w:bidi="ru-RU"/>
        </w:rPr>
        <w:t>Управление Федеральной антимонопольной службы</w:t>
      </w:r>
      <w:bookmarkEnd w:id="4"/>
    </w:p>
    <w:p>
      <w:pPr>
        <w:pStyle w:val="Style11"/>
        <w:keepNext/>
        <w:keepLines/>
        <w:widowControl w:val="0"/>
        <w:pBdr>
          <w:bottom w:val="single" w:sz="4" w:space="0" w:color="auto"/>
        </w:pBdr>
        <w:shd w:val="clear" w:color="auto" w:fill="auto"/>
        <w:tabs>
          <w:tab w:leader="underscore" w:pos="2538" w:val="left"/>
          <w:tab w:leader="underscore" w:pos="9464" w:val="left"/>
        </w:tabs>
        <w:bidi w:val="0"/>
        <w:spacing w:before="0" w:after="0" w:line="240" w:lineRule="auto"/>
        <w:ind w:left="1040" w:right="0" w:firstLine="0"/>
        <w:jc w:val="both"/>
      </w:pPr>
      <w:r>
        <w:rPr>
          <w:spacing w:val="0"/>
          <w:w w:val="100"/>
          <w:position w:val="0"/>
          <w:shd w:val="clear" w:color="auto" w:fill="auto"/>
          <w:lang w:val="ru-RU" w:eastAsia="ru-RU" w:bidi="ru-RU"/>
        </w:rPr>
        <w:tab/>
      </w:r>
      <w:r>
        <w:rPr>
          <w:spacing w:val="0"/>
          <w:w w:val="100"/>
          <w:position w:val="0"/>
          <w:u w:val="single"/>
          <w:shd w:val="clear" w:color="auto" w:fill="auto"/>
          <w:lang w:val="ru-RU" w:eastAsia="ru-RU" w:bidi="ru-RU"/>
        </w:rPr>
        <w:t>по Чукотскому автономному округу</w:t>
      </w:r>
      <w:r>
        <w:rPr>
          <w:spacing w:val="0"/>
          <w:w w:val="100"/>
          <w:position w:val="0"/>
          <w:shd w:val="clear" w:color="auto" w:fill="auto"/>
          <w:lang w:val="ru-RU" w:eastAsia="ru-RU" w:bidi="ru-RU"/>
        </w:rPr>
        <w:tab/>
      </w:r>
    </w:p>
    <w:p>
      <w:pPr>
        <w:pStyle w:val="Style8"/>
        <w:keepNext w:val="0"/>
        <w:keepLines w:val="0"/>
        <w:widowControl w:val="0"/>
        <w:shd w:val="clear" w:color="auto" w:fill="auto"/>
        <w:bidi w:val="0"/>
        <w:spacing w:before="0" w:after="0" w:line="240" w:lineRule="auto"/>
        <w:ind w:left="1040" w:right="0" w:firstLine="0"/>
        <w:jc w:val="both"/>
      </w:pPr>
      <w:r>
        <w:rPr>
          <w:spacing w:val="0"/>
          <w:w w:val="100"/>
          <w:position w:val="0"/>
          <w:shd w:val="clear" w:color="auto" w:fill="auto"/>
          <w:lang w:val="ru-RU" w:eastAsia="ru-RU" w:bidi="ru-RU"/>
        </w:rPr>
        <w:t>689000, Чукотский АО, г. Анадырь, ул. Энергетиков, 13; тел/факс (42722) 2-66-08;</w:t>
      </w:r>
    </w:p>
    <w:p>
      <w:pPr>
        <w:pStyle w:val="Style8"/>
        <w:keepNext w:val="0"/>
        <w:keepLines w:val="0"/>
        <w:widowControl w:val="0"/>
        <w:shd w:val="clear" w:color="auto" w:fill="auto"/>
        <w:bidi w:val="0"/>
        <w:spacing w:before="0" w:after="640" w:line="240" w:lineRule="auto"/>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"mailto:to87@fas.gov.ru" </w:instrText>
      </w:r>
      <w:r>
        <w:fldChar w:fldCharType="separate"/>
      </w:r>
      <w:r>
        <w:rPr>
          <w:spacing w:val="0"/>
          <w:w w:val="100"/>
          <w:position w:val="0"/>
          <w:shd w:val="clear" w:color="auto" w:fill="auto"/>
          <w:lang w:val="ru-RU" w:eastAsia="ru-RU" w:bidi="ru-RU"/>
        </w:rPr>
        <w:t>1о87@Газ.§оу.ги</w:t>
      </w:r>
      <w:r>
        <w:fldChar w:fldCharType="end"/>
      </w:r>
      <w:r>
        <w:rPr>
          <w:spacing w:val="0"/>
          <w:w w:val="100"/>
          <w:position w:val="0"/>
          <w:shd w:val="clear" w:color="auto" w:fill="auto"/>
          <w:lang w:val="ru-RU" w:eastAsia="ru-RU" w:bidi="ru-RU"/>
        </w:rPr>
        <w:t xml:space="preserve"> </w:t>
      </w:r>
      <w:r>
        <w:fldChar w:fldCharType="begin"/>
      </w:r>
      <w:r>
        <w:rPr/>
        <w:instrText> HYPERLINK "http://www.chukotka.fas.gov.ru" </w:instrText>
      </w:r>
      <w:r>
        <w:fldChar w:fldCharType="separate"/>
      </w:r>
      <w:r>
        <w:rPr>
          <w:spacing w:val="0"/>
          <w:w w:val="100"/>
          <w:position w:val="0"/>
          <w:shd w:val="clear" w:color="auto" w:fill="auto"/>
          <w:lang w:val="ru-RU" w:eastAsia="ru-RU" w:bidi="ru-RU"/>
        </w:rPr>
        <w:t>\\лу\у.с11ико1ка.Газ.§оу.ги</w:t>
      </w:r>
      <w:r>
        <w:fldChar w:fldCharType="end"/>
      </w:r>
    </w:p>
    <w:p>
      <w:pPr>
        <w:pStyle w:val="Style11"/>
        <w:keepNext/>
        <w:keepLines/>
        <w:widowControl w:val="0"/>
        <w:shd w:val="clear" w:color="auto" w:fill="auto"/>
        <w:bidi w:val="0"/>
        <w:spacing w:before="0" w:after="320" w:line="240" w:lineRule="auto"/>
        <w:ind w:left="0" w:right="0" w:firstLine="0"/>
        <w:jc w:val="center"/>
      </w:pPr>
      <w:bookmarkStart w:id="7" w:name="bookmark7"/>
      <w:r>
        <w:rPr>
          <w:color w:val="000000"/>
          <w:spacing w:val="0"/>
          <w:w w:val="100"/>
          <w:position w:val="0"/>
          <w:shd w:val="clear" w:color="auto" w:fill="auto"/>
          <w:lang w:val="ru-RU" w:eastAsia="ru-RU" w:bidi="ru-RU"/>
        </w:rPr>
        <w:t>РЕШЕНИЕ № 087/06/106-10/2024</w:t>
      </w:r>
      <w:bookmarkEnd w:id="7"/>
    </w:p>
    <w:p>
      <w:pPr>
        <w:pStyle w:val="Style15"/>
        <w:keepNext w:val="0"/>
        <w:keepLines w:val="0"/>
        <w:widowControl w:val="0"/>
        <w:shd w:val="clear" w:color="auto" w:fill="auto"/>
        <w:tabs>
          <w:tab w:pos="8323" w:val="left"/>
        </w:tabs>
        <w:bidi w:val="0"/>
        <w:spacing w:before="0" w:after="320" w:line="240" w:lineRule="auto"/>
        <w:ind w:left="0" w:right="0" w:firstLine="0"/>
        <w:jc w:val="both"/>
      </w:pPr>
      <w:r>
        <w:rPr>
          <w:color w:val="000000"/>
          <w:spacing w:val="0"/>
          <w:w w:val="100"/>
          <w:position w:val="0"/>
          <w:shd w:val="clear" w:color="auto" w:fill="auto"/>
          <w:lang w:val="ru-RU" w:eastAsia="ru-RU" w:bidi="ru-RU"/>
        </w:rPr>
        <w:t>12 февраля 2024 года</w:t>
        <w:tab/>
        <w:t>г. Анадырь</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Чукотского УФАС России по рассмотрению жалоб в сфере закупок товаров, работ, услуг для обеспечения государственных и муниципальных нужд (далее - Комиссия) в составе: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Председатель Комиссии</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720" w:right="0" w:firstLine="0"/>
        <w:jc w:val="both"/>
      </w:pPr>
      <w:r>
        <w:rPr>
          <w:color w:val="000000"/>
          <w:spacing w:val="0"/>
          <w:w w:val="100"/>
          <w:position w:val="0"/>
          <w:shd w:val="clear" w:color="auto" w:fill="auto"/>
          <w:lang w:val="ru-RU" w:eastAsia="ru-RU" w:bidi="ru-RU"/>
        </w:rPr>
        <w:t xml:space="preserve">Омаев Тамирлан Алиевич, руководитель Чукотского УФАС России, </w:t>
      </w:r>
      <w:r>
        <w:rPr>
          <w:color w:val="000000"/>
          <w:spacing w:val="0"/>
          <w:w w:val="100"/>
          <w:position w:val="0"/>
          <w:u w:val="single"/>
          <w:shd w:val="clear" w:color="auto" w:fill="auto"/>
          <w:lang w:val="ru-RU" w:eastAsia="ru-RU" w:bidi="ru-RU"/>
        </w:rPr>
        <w:t>Члены Комиссии</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Дунакаев Азнаур Эльдарович, заместитель руководителя Чукотского УФАС России,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Полковникова Кристина Николаевна, главный специалист-эксперт Чукотского УФАС России,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«ГЛОБАЛС АУДИТ», ИНН / КПП: 6652022791 / 667801001 (далее - Заявитель, ООО «Глобалс Аудит») на действия заказчика - ГОСУДАРСТВЕННОЕ ПРЕДПРИЯТИЕ ЧУКОТСКОГО АВТОНОМНОГО ОКРУГА «ЧУКОТКОММУНХОЗ», ИНН / КПП: 8700000466 / 870901001 (далее - Заказчик, ГП ЧАО «ЧКХ») при проведении открытого конкурса в электронной форме на «Оказание услуг по проведению обязательного ежегодного аудита бухгалтерской (финансовой) отчётности ГП ЧАО «Чукоткоммунхоз» за 2023</w:t>
        <w:softHyphen/>
        <w:t>2025 гг.» ИКЗ № 242870000046687090100100010016920000, извещение № 0588200001024000001, (далее - Конкурс),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(утвержденного Приказом ФАС России от 25 мая 2012 г. №339):</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представителя стороны Заявителя (уведомленного надлежащим образом);</w:t>
      </w:r>
    </w:p>
    <w:p>
      <w:pPr>
        <w:pStyle w:val="Style15"/>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стороны Заказчика в лице Нестеренко Дмитрия Леонидовича - начальник сектора государственных закупок ГП ЧАО «ЧКХ», по доверенности № 4873/23 от 18.12.2023,</w:t>
      </w:r>
    </w:p>
    <w:p>
      <w:pPr>
        <w:pStyle w:val="Style11"/>
        <w:keepNext/>
        <w:keepLines/>
        <w:widowControl w:val="0"/>
        <w:shd w:val="clear" w:color="auto" w:fill="auto"/>
        <w:bidi w:val="0"/>
        <w:spacing w:before="0" w:after="320" w:line="240" w:lineRule="auto"/>
        <w:ind w:left="0" w:right="0" w:firstLine="0"/>
        <w:jc w:val="center"/>
      </w:pPr>
      <w:bookmarkStart w:id="9" w:name="bookmark9"/>
      <w:r>
        <w:rPr>
          <w:color w:val="000000"/>
          <w:spacing w:val="0"/>
          <w:w w:val="100"/>
          <w:position w:val="0"/>
          <w:shd w:val="clear" w:color="auto" w:fill="auto"/>
          <w:lang w:val="ru-RU" w:eastAsia="ru-RU" w:bidi="ru-RU"/>
        </w:rPr>
        <w:t>УСТАНОВИЛА:</w:t>
      </w:r>
      <w:bookmarkEnd w:id="9"/>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Управление Федеральной антимонопольной службы по Чукотскому автономному округу 06.02.2024 года поступила жалоба от Заявителя на действия Заказчика.</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Жалоба была подана в Чукотское УФАС России с использованием официального сайта Единой информационной системы в сфере закупок в информационно-телекоммуникационной сети Интернет, </w:t>
      </w:r>
      <w:r>
        <w:fldChar w:fldCharType="begin"/>
      </w:r>
      <w:r>
        <w:rPr/>
        <w:instrText> HYPERLINK "http://www.zakupki.gov.ru" </w:instrText>
      </w:r>
      <w:r>
        <w:fldChar w:fldCharType="separate"/>
      </w:r>
      <w:r>
        <w:rPr>
          <w:spacing w:val="0"/>
          <w:w w:val="100"/>
          <w:position w:val="0"/>
          <w:shd w:val="clear" w:color="auto" w:fill="auto"/>
          <w:lang w:val="ru-RU" w:eastAsia="ru-RU" w:bidi="ru-RU"/>
        </w:rPr>
        <w:t>лулу\у.2акирк1.§оу.ги</w:t>
      </w:r>
      <w:r>
        <w:fldChar w:fldCharType="end"/>
      </w:r>
      <w:r>
        <w:rPr>
          <w:spacing w:val="0"/>
          <w:w w:val="100"/>
          <w:position w:val="0"/>
          <w:shd w:val="clear" w:color="auto" w:fill="auto"/>
          <w:lang w:val="ru-RU" w:eastAsia="ru-RU" w:bidi="ru-RU"/>
        </w:rPr>
        <w:t>, (далее - ЕИС), принята к рассмотрению, по существу.</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доводам жалобы Заявителя, установлено следующее:</w:t>
      </w:r>
    </w:p>
    <w:p>
      <w:pPr>
        <w:pStyle w:val="Style15"/>
        <w:keepNext w:val="0"/>
        <w:keepLines w:val="0"/>
        <w:widowControl w:val="0"/>
        <w:numPr>
          <w:ilvl w:val="0"/>
          <w:numId w:val="1"/>
        </w:numPr>
        <w:shd w:val="clear" w:color="auto" w:fill="auto"/>
        <w:tabs>
          <w:tab w:pos="1423" w:val="left"/>
        </w:tabs>
        <w:bidi w:val="0"/>
        <w:spacing w:before="0" w:after="0" w:line="240" w:lineRule="auto"/>
        <w:ind w:left="0" w:right="0" w:firstLine="720"/>
        <w:jc w:val="both"/>
      </w:pPr>
      <w:r>
        <w:rPr>
          <w:spacing w:val="0"/>
          <w:w w:val="100"/>
          <w:position w:val="0"/>
          <w:shd w:val="clear" w:color="auto" w:fill="auto"/>
          <w:lang w:val="ru-RU" w:eastAsia="ru-RU" w:bidi="ru-RU"/>
        </w:rPr>
        <w:t xml:space="preserve">Заказчик установил неправомерный детализирующий показатель оценки заявок по критерию «Квалификация участников закупки» в показателе «Наличие у участников закупки специалистов и иных работников определенного уровня квалификации» указав по второму признаку «Численность аудиторов, являющихся работниками участника закупки </w:t>
      </w:r>
      <w:r>
        <w:rPr>
          <w:b/>
          <w:bCs/>
          <w:spacing w:val="0"/>
          <w:w w:val="100"/>
          <w:position w:val="0"/>
          <w:u w:val="single"/>
          <w:shd w:val="clear" w:color="auto" w:fill="auto"/>
          <w:lang w:val="ru-RU" w:eastAsia="ru-RU" w:bidi="ru-RU"/>
        </w:rPr>
        <w:t>по основному месту работы</w:t>
      </w:r>
      <w:r>
        <w:rPr>
          <w:b/>
          <w:bCs/>
          <w:spacing w:val="0"/>
          <w:w w:val="100"/>
          <w:position w:val="0"/>
          <w:shd w:val="clear" w:color="auto" w:fill="auto"/>
          <w:lang w:val="ru-RU" w:eastAsia="ru-RU" w:bidi="ru-RU"/>
        </w:rPr>
        <w:t>».</w:t>
      </w:r>
    </w:p>
    <w:p>
      <w:pPr>
        <w:pStyle w:val="Style15"/>
        <w:keepNext w:val="0"/>
        <w:keepLines w:val="0"/>
        <w:widowControl w:val="0"/>
        <w:numPr>
          <w:ilvl w:val="0"/>
          <w:numId w:val="1"/>
        </w:numPr>
        <w:shd w:val="clear" w:color="auto" w:fill="auto"/>
        <w:tabs>
          <w:tab w:pos="1423" w:val="left"/>
        </w:tabs>
        <w:bidi w:val="0"/>
        <w:spacing w:before="0" w:after="0" w:line="240" w:lineRule="auto"/>
        <w:ind w:left="0" w:right="0" w:firstLine="720"/>
        <w:jc w:val="both"/>
      </w:pPr>
      <w:r>
        <w:rPr>
          <w:spacing w:val="0"/>
          <w:w w:val="100"/>
          <w:position w:val="0"/>
          <w:shd w:val="clear" w:color="auto" w:fill="auto"/>
          <w:lang w:val="ru-RU" w:eastAsia="ru-RU" w:bidi="ru-RU"/>
        </w:rPr>
        <w:t xml:space="preserve">Заказчиком установлен перечень документов, подтверждающий наличие специалистов и иных работников, их квалификацию, предусмотренные перечнем с взаимозаменяемыми пунктами, указанных отдельными требованиями без указания термина </w:t>
      </w:r>
      <w:r>
        <w:rPr>
          <w:i/>
          <w:iCs/>
          <w:spacing w:val="0"/>
          <w:w w:val="100"/>
          <w:position w:val="0"/>
          <w:shd w:val="clear" w:color="auto" w:fill="auto"/>
          <w:lang w:val="ru-RU" w:eastAsia="ru-RU" w:bidi="ru-RU"/>
        </w:rPr>
        <w:t>«или».</w:t>
      </w:r>
    </w:p>
    <w:p>
      <w:pPr>
        <w:pStyle w:val="Style15"/>
        <w:keepNext w:val="0"/>
        <w:keepLines w:val="0"/>
        <w:widowControl w:val="0"/>
        <w:numPr>
          <w:ilvl w:val="0"/>
          <w:numId w:val="1"/>
        </w:numPr>
        <w:shd w:val="clear" w:color="auto" w:fill="auto"/>
        <w:tabs>
          <w:tab w:pos="1423" w:val="left"/>
        </w:tabs>
        <w:bidi w:val="0"/>
        <w:spacing w:before="0" w:after="0" w:line="240" w:lineRule="auto"/>
        <w:ind w:left="0" w:right="0" w:firstLine="720"/>
        <w:jc w:val="both"/>
      </w:pPr>
      <w:r>
        <w:rPr>
          <w:spacing w:val="0"/>
          <w:w w:val="100"/>
          <w:position w:val="0"/>
          <w:shd w:val="clear" w:color="auto" w:fill="auto"/>
          <w:lang w:val="ru-RU" w:eastAsia="ru-RU" w:bidi="ru-RU"/>
        </w:rPr>
        <w:t>Заказчик установил в показателе «Формула оценки или шкала оценки» для расчета по критерию «Квалификация участников закупки» в показателе «Наличие у участников закупки специалистов и иных работников определенного уровня квалификации» одновременно минимальное (равное 14) и максимальное (равное 15) предельные значения без разрыва (без промежуточного диапазона) между ними. Таким образом, сравнения заявок не происходит, то есть все участники с числом аудиторов меньше 15 получают ноль, а 15 и более аудиторов получают максимальный балл.</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ООО «Глобалс Аудит» просит приостановить определение поставщика согласно части 7 статьи 106 ФЗ Закона о контрактной системе в части заключения контракта заказчиком до рассмотрения жалобы по существу и признать жалобу обоснованной.</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ГП ЧАО «ЧКХ» было предложено представить в адрес Чукотского УФАС России документы и сведения, свои возражения, необходимые для рассмотрения жалобы.</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Заказчик с доводами Заявителя не согласился и в свих возражениях (вх. № 294-ЭП724 от 09.02.204) пояснил следующее.</w:t>
      </w:r>
    </w:p>
    <w:p>
      <w:pPr>
        <w:pStyle w:val="Style15"/>
        <w:keepNext w:val="0"/>
        <w:keepLines w:val="0"/>
        <w:widowControl w:val="0"/>
        <w:numPr>
          <w:ilvl w:val="0"/>
          <w:numId w:val="3"/>
        </w:numPr>
        <w:shd w:val="clear" w:color="auto" w:fill="auto"/>
        <w:tabs>
          <w:tab w:pos="1423" w:val="left"/>
        </w:tabs>
        <w:bidi w:val="0"/>
        <w:spacing w:before="0" w:after="0" w:line="240" w:lineRule="auto"/>
        <w:ind w:left="0" w:right="0" w:firstLine="720"/>
        <w:jc w:val="both"/>
      </w:pPr>
      <w:r>
        <w:rPr>
          <w:spacing w:val="0"/>
          <w:w w:val="100"/>
          <w:position w:val="0"/>
          <w:shd w:val="clear" w:color="auto" w:fill="auto"/>
          <w:lang w:val="ru-RU" w:eastAsia="ru-RU" w:bidi="ru-RU"/>
        </w:rPr>
        <w:t>Заказчик действовал в установленном порядке оценки сотрудников согласно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являющихся аудиторами, находящихся в трудовых отношениях с участником закупки, имеющие квалификационный аттестат аудитора и состоящие в СРО.</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ГП ЧАО «Чукоткоммунхоз» включил в порядок оценки всех аудиторов участника закупки, включая и тех, кто является сотрудником аудиторской компании по совместительству.</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Заявитель оспаривает критерии оценки заявок участников закупки, которые сами по себе не могут ограничивать конкуренцию, т.к. отсутствие возможности получения желаемого количества балов по какому-либо показателю не влечёт за собой отклонение участника закупки от торгов. Кроме того, количество критериев и показателей позволяет не набравшему максимальный балл по одному из критериев участнику закупки компенсировать их другим критерием или ценой.</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Заказчик не может быть ограничен в выборе критериев оценки показателей, если они установлены в рамках Положения, поскольку именно Заказчиком определяются преимущественные для своей организации условия исполнения контракта, опыт и квалификация исполнителя. 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5"/>
        <w:keepNext w:val="0"/>
        <w:keepLines w:val="0"/>
        <w:widowControl w:val="0"/>
        <w:numPr>
          <w:ilvl w:val="0"/>
          <w:numId w:val="3"/>
        </w:numPr>
        <w:shd w:val="clear" w:color="auto" w:fill="auto"/>
        <w:tabs>
          <w:tab w:pos="1430" w:val="left"/>
        </w:tabs>
        <w:bidi w:val="0"/>
        <w:spacing w:before="0" w:after="0" w:line="240" w:lineRule="auto"/>
        <w:ind w:left="0" w:right="0" w:firstLine="720"/>
        <w:jc w:val="both"/>
      </w:pPr>
      <w:r>
        <w:rPr>
          <w:spacing w:val="0"/>
          <w:w w:val="100"/>
          <w:position w:val="0"/>
          <w:shd w:val="clear" w:color="auto" w:fill="auto"/>
          <w:lang w:val="ru-RU" w:eastAsia="ru-RU" w:bidi="ru-RU"/>
        </w:rPr>
        <w:t>Второй довод Заказчик не комментировал в своих письменных возражениях.</w:t>
      </w:r>
    </w:p>
    <w:p>
      <w:pPr>
        <w:pStyle w:val="Style15"/>
        <w:keepNext w:val="0"/>
        <w:keepLines w:val="0"/>
        <w:widowControl w:val="0"/>
        <w:numPr>
          <w:ilvl w:val="0"/>
          <w:numId w:val="3"/>
        </w:numPr>
        <w:shd w:val="clear" w:color="auto" w:fill="auto"/>
        <w:tabs>
          <w:tab w:pos="1430" w:val="left"/>
        </w:tabs>
        <w:bidi w:val="0"/>
        <w:spacing w:before="0" w:after="0" w:line="240" w:lineRule="auto"/>
        <w:ind w:left="0" w:right="0" w:firstLine="720"/>
        <w:jc w:val="both"/>
      </w:pPr>
      <w:r>
        <w:rPr>
          <w:spacing w:val="0"/>
          <w:w w:val="100"/>
          <w:position w:val="0"/>
          <w:shd w:val="clear" w:color="auto" w:fill="auto"/>
          <w:lang w:val="ru-RU" w:eastAsia="ru-RU" w:bidi="ru-RU"/>
        </w:rPr>
        <w:t>Положение не содержит каких-либо дополнительных требований при установлении предельно максимальных и минимальных значений. В пункте 20 Положения отсутствует указание, на какие-либо «разрывы или промежуточные диапазоны», отсутствуют нормы, устанавливающие, какой должен применяться минимальный (максимальный) разрыв или диапазон. Руководствуясь логикой Заявителя можно оспаривать разрыв (диапазон) в две или три единицы как «недостаточный».</w:t>
      </w:r>
    </w:p>
    <w:p>
      <w:pPr>
        <w:pStyle w:val="Style15"/>
        <w:keepNext w:val="0"/>
        <w:keepLines w:val="0"/>
        <w:widowControl w:val="0"/>
        <w:shd w:val="clear" w:color="auto" w:fill="auto"/>
        <w:bidi w:val="0"/>
        <w:spacing w:before="0" w:after="300" w:line="240" w:lineRule="auto"/>
        <w:ind w:left="0" w:right="0" w:firstLine="720"/>
        <w:jc w:val="both"/>
      </w:pPr>
      <w:r>
        <w:rPr>
          <w:spacing w:val="0"/>
          <w:w w:val="100"/>
          <w:position w:val="0"/>
          <w:shd w:val="clear" w:color="auto" w:fill="auto"/>
          <w:lang w:val="ru-RU" w:eastAsia="ru-RU" w:bidi="ru-RU"/>
        </w:rPr>
        <w:t>Исходя из вышеизложенного Заказчик считает, что доводы Заявителя не основаны на действующих нормативно правовых актах. Порядок оценки заявок участников закупки полностью соответствует Закону о контрактной системе и Положению № 2604.</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Комиссия Чукотского УФАС России, рассмотрев доводы жалобы, изучив представленные материалы,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Из представленных материалов и информации, размещенной в БИС следует, что 22.01.2024 21:59 (МСК+9) в БИС Заказчиком было размещено извещение № 0588200001024000001 и документация на проведение открытого конкурса в электронной форме в соответствии с частью 19 статьи 48 Закона о контрактной системе на «Оказание услуг по проведению обязательного ежегодного аудита бухгалтерской (финансовой) отчётности ГП ЧАО «Чукоткоммунхоз» за 2023-2025 гг.», с начальной (максимальной) ценой контракта 1 916 666,67 руб. (один миллион девятьсот шестнадцать тысяч шестьсот шестьдесят шесть рублей 67 копеек).</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Дата и время подачи заявок - 22.01.2024 21:59 (МСК+9) по 07.02.2024 10:00 (МСК+9).</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09.02.2024 17:35 (МСК+9) - Размещен «Протокол рассмотрения и оценки вторых частей заявок на участие в открытом конкурсе в электронной форме от 09.02.2024 № ПРОШ» для закупки № 0588200001024000001.</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12.02.2024 15:51 (МСК+9) - Размещен «Протокол подведения итогов определения поставщика (подрядчика, исполнителя) от 12.02.2024 № ИЭОК1» для закупки № 0588200001024000001.</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Из Протокола подведения итогов определения поставщика (подрядчика, исполнителя) Конкурса установлено, что по окончании срока подачи заявок всего подано 5 (пять) заявок на участие в закупке с идентификационными номерами «1», «2», «3», «4» и «6».</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По результатам рассмотрения заявок на участие в Конкурсе четыре заявки признаны соответствующими требованиям, установленным в извещении об осуществлении закупки и заявка с идентификационным номером «2» была отклонена по следующим причинам: в соответствии с п. 1 ч. 12 ст. Закона о контрактной системе - Непредставление информации и документов, предусмотренных извещением об осуществлении закупки в соответствии с Законом о контрактной системе, несоответствие таких информации и документов требованиям, установленным в извещении об осуществлении закупки; п. 3 ч. 12 ст. 48 Закона о контрактной системе - Несоответствие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ст. 31 Закона о контрактной ситеме; Не соответствует требованиям к содержанию, составу заявки на участие в закупке, а именно требованию о прохождении внешнего контроля деятельности в соответствии с ФЗ от 30.12.2008 № ЗО7-ФЗ «Об аудиторской деятельности» за весь период деятельности аудиторской организации, учитывая её правопреемство.</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На основании пункта 1 части 1 статьи 5 Федерального закона «Об аудиторской деятельности» от 30.12.2008 № ЗО7-ФЗ (далее - Федеральный закон № ЗО7-ФЗ) обязательный аудит бухгалтерской (финансовой) отчетности проводится в случаях, установленных федеральными законами.</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1 статьи 8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Электронный конкурс начинается с размещения в единой информационной системе извещения об осуществлении закупки (часть 1 статьи 48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В соответствии с пунктом 11 части 1 статьи 42 Закона о контрактной системе при осуществлении закупки путем проведения открытых конкурентных </w:t>
      </w:r>
      <w:r>
        <w:rPr>
          <w:spacing w:val="0"/>
          <w:w w:val="100"/>
          <w:position w:val="0"/>
          <w:shd w:val="clear" w:color="auto" w:fill="auto"/>
          <w:lang w:val="ru-RU" w:eastAsia="ru-RU" w:bidi="ru-RU"/>
        </w:rPr>
        <w:t>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11) критерии оценки заявок на участие в конкурсах, величины значимости этих критериев в соответствии с настоящим Федеральным законом.</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Для оценки заявок участников закупки заказчик использует следующие критерии:</w:t>
      </w:r>
    </w:p>
    <w:p>
      <w:pPr>
        <w:pStyle w:val="Style15"/>
        <w:keepNext w:val="0"/>
        <w:keepLines w:val="0"/>
        <w:widowControl w:val="0"/>
        <w:numPr>
          <w:ilvl w:val="0"/>
          <w:numId w:val="5"/>
        </w:numPr>
        <w:shd w:val="clear" w:color="auto" w:fill="auto"/>
        <w:tabs>
          <w:tab w:pos="1027" w:val="left"/>
        </w:tabs>
        <w:bidi w:val="0"/>
        <w:spacing w:before="0" w:after="0" w:line="240" w:lineRule="auto"/>
        <w:ind w:left="0" w:right="0" w:firstLine="700"/>
        <w:jc w:val="both"/>
      </w:pPr>
      <w:r>
        <w:rPr>
          <w:spacing w:val="0"/>
          <w:w w:val="100"/>
          <w:position w:val="0"/>
          <w:shd w:val="clear" w:color="auto" w:fill="auto"/>
          <w:lang w:val="ru-RU" w:eastAsia="ru-RU" w:bidi="ru-RU"/>
        </w:rPr>
        <w:t>цена контракта, сумма цен единиц товара, работы, услуги;</w:t>
      </w:r>
    </w:p>
    <w:p>
      <w:pPr>
        <w:pStyle w:val="Style15"/>
        <w:keepNext w:val="0"/>
        <w:keepLines w:val="0"/>
        <w:widowControl w:val="0"/>
        <w:numPr>
          <w:ilvl w:val="0"/>
          <w:numId w:val="5"/>
        </w:numPr>
        <w:shd w:val="clear" w:color="auto" w:fill="auto"/>
        <w:tabs>
          <w:tab w:pos="1076" w:val="left"/>
        </w:tabs>
        <w:bidi w:val="0"/>
        <w:spacing w:before="0" w:after="0" w:line="240" w:lineRule="auto"/>
        <w:ind w:left="0" w:right="0" w:firstLine="720"/>
        <w:jc w:val="both"/>
      </w:pPr>
      <w:r>
        <w:rPr>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5"/>
        <w:keepNext w:val="0"/>
        <w:keepLines w:val="0"/>
        <w:widowControl w:val="0"/>
        <w:numPr>
          <w:ilvl w:val="0"/>
          <w:numId w:val="5"/>
        </w:numPr>
        <w:shd w:val="clear" w:color="auto" w:fill="auto"/>
        <w:tabs>
          <w:tab w:pos="1165" w:val="left"/>
        </w:tabs>
        <w:bidi w:val="0"/>
        <w:spacing w:before="0" w:after="0" w:line="240" w:lineRule="auto"/>
        <w:ind w:left="0" w:right="0" w:firstLine="720"/>
        <w:jc w:val="both"/>
      </w:pPr>
      <w:r>
        <w:rPr>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5"/>
        <w:keepNext w:val="0"/>
        <w:keepLines w:val="0"/>
        <w:widowControl w:val="0"/>
        <w:numPr>
          <w:ilvl w:val="0"/>
          <w:numId w:val="5"/>
        </w:numPr>
        <w:shd w:val="clear" w:color="auto" w:fill="auto"/>
        <w:tabs>
          <w:tab w:pos="1165" w:val="left"/>
        </w:tabs>
        <w:bidi w:val="0"/>
        <w:spacing w:before="0" w:after="0" w:line="240" w:lineRule="auto"/>
        <w:ind w:left="0" w:right="0" w:firstLine="720"/>
        <w:jc w:val="both"/>
      </w:pPr>
      <w:r>
        <w:rPr>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(часть 1 статьи 32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(часть 8 статьи 32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 2604).</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Для оценки заявок в соответствии с настоящим Положением применяется, в том числе, следующий критерий оценки:</w:t>
      </w:r>
    </w:p>
    <w:p>
      <w:pPr>
        <w:pStyle w:val="Style15"/>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spacing w:val="0"/>
          <w:w w:val="100"/>
          <w:position w:val="0"/>
          <w:shd w:val="clear" w:color="auto" w:fill="auto"/>
          <w:lang w:val="ru-RU" w:eastAsia="ru-RU" w:bidi="ru-RU"/>
        </w:rPr>
        <w:t>квалификация участников закупки (пп. «г» п. 3 Положения № 2604).</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5"/>
        <w:keepNext w:val="0"/>
        <w:keepLines w:val="0"/>
        <w:widowControl w:val="0"/>
        <w:numPr>
          <w:ilvl w:val="0"/>
          <w:numId w:val="7"/>
        </w:numPr>
        <w:shd w:val="clear" w:color="auto" w:fill="auto"/>
        <w:tabs>
          <w:tab w:pos="1165" w:val="left"/>
        </w:tabs>
        <w:bidi w:val="0"/>
        <w:spacing w:before="0" w:after="0" w:line="240" w:lineRule="auto"/>
        <w:ind w:left="0" w:right="0" w:firstLine="720"/>
        <w:jc w:val="both"/>
      </w:pPr>
      <w:r>
        <w:rPr>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 (пп. «д» п. 24 Положения № 2604).</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Согласно пункта 25 Положения № 2604, для оценки заявок по показателям оценки, предусмотренным пунктом 24 настоящего Положения, применяются детализирующие показатели.</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На основании пункта 30 Положения № 2604, в случае применения показателя оценки, указанного в подпункте «д» пункта 24 настоящего Положения, документом, предусмотренным приложением И 1 к настоящему Положению, устанавливаются </w:t>
      </w:r>
      <w:r>
        <w:rPr>
          <w:spacing w:val="0"/>
          <w:w w:val="100"/>
          <w:position w:val="0"/>
          <w:u w:val="single"/>
          <w:shd w:val="clear" w:color="auto" w:fill="auto"/>
          <w:lang w:val="ru-RU" w:eastAsia="ru-RU" w:bidi="ru-RU"/>
        </w:rPr>
        <w:t>(детализирующие показатели)</w:t>
      </w:r>
      <w:r>
        <w:rPr>
          <w:spacing w:val="0"/>
          <w:w w:val="100"/>
          <w:position w:val="0"/>
          <w:shd w:val="clear" w:color="auto" w:fill="auto"/>
          <w:lang w:val="ru-RU" w:eastAsia="ru-RU" w:bidi="ru-RU"/>
        </w:rPr>
        <w:t>:</w:t>
      </w:r>
    </w:p>
    <w:p>
      <w:pPr>
        <w:pStyle w:val="Style15"/>
        <w:keepNext w:val="0"/>
        <w:keepLines w:val="0"/>
        <w:widowControl w:val="0"/>
        <w:numPr>
          <w:ilvl w:val="0"/>
          <w:numId w:val="9"/>
        </w:numPr>
        <w:shd w:val="clear" w:color="auto" w:fill="auto"/>
        <w:tabs>
          <w:tab w:pos="1169" w:val="left"/>
        </w:tabs>
        <w:bidi w:val="0"/>
        <w:spacing w:before="0" w:after="0" w:line="240" w:lineRule="auto"/>
        <w:ind w:left="0" w:right="0" w:firstLine="720"/>
        <w:jc w:val="both"/>
      </w:pPr>
      <w:r>
        <w:rPr>
          <w:spacing w:val="0"/>
          <w:w w:val="100"/>
          <w:position w:val="0"/>
          <w:shd w:val="clear" w:color="auto" w:fill="auto"/>
          <w:lang w:val="ru-RU" w:eastAsia="ru-RU" w:bidi="ru-RU"/>
        </w:rPr>
        <w:t>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pPr>
        <w:pStyle w:val="Style15"/>
        <w:keepNext w:val="0"/>
        <w:keepLines w:val="0"/>
        <w:widowControl w:val="0"/>
        <w:numPr>
          <w:ilvl w:val="0"/>
          <w:numId w:val="9"/>
        </w:numPr>
        <w:shd w:val="clear" w:color="auto" w:fill="auto"/>
        <w:tabs>
          <w:tab w:pos="1169" w:val="left"/>
        </w:tabs>
        <w:bidi w:val="0"/>
        <w:spacing w:before="0" w:after="0" w:line="240" w:lineRule="auto"/>
        <w:ind w:left="0" w:right="0" w:firstLine="720"/>
        <w:jc w:val="both"/>
      </w:pPr>
      <w:r>
        <w:rPr>
          <w:spacing w:val="0"/>
          <w:w w:val="100"/>
          <w:position w:val="0"/>
          <w:shd w:val="clear" w:color="auto" w:fill="auto"/>
          <w:lang w:val="ru-RU" w:eastAsia="ru-RU" w:bidi="ru-RU"/>
        </w:rPr>
        <w:t>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pPr>
        <w:pStyle w:val="Style15"/>
        <w:keepNext w:val="0"/>
        <w:keepLines w:val="0"/>
        <w:widowControl w:val="0"/>
        <w:numPr>
          <w:ilvl w:val="0"/>
          <w:numId w:val="11"/>
        </w:numPr>
        <w:shd w:val="clear" w:color="auto" w:fill="auto"/>
        <w:tabs>
          <w:tab w:pos="1169" w:val="left"/>
        </w:tabs>
        <w:bidi w:val="0"/>
        <w:spacing w:before="0" w:after="0" w:line="240" w:lineRule="auto"/>
        <w:ind w:left="0" w:right="0" w:firstLine="720"/>
        <w:jc w:val="both"/>
      </w:pPr>
      <w:r>
        <w:rPr>
          <w:spacing w:val="0"/>
          <w:w w:val="100"/>
          <w:position w:val="0"/>
          <w:shd w:val="clear" w:color="auto" w:fill="auto"/>
          <w:lang w:val="ru-RU" w:eastAsia="ru-RU" w:bidi="ru-RU"/>
        </w:rPr>
        <w:t>трудовая книжка или сведения о трудовой деятельности, предусмотренные статьей 66.1 Трудового кодекса Российской Федерации;</w:t>
      </w:r>
    </w:p>
    <w:p>
      <w:pPr>
        <w:pStyle w:val="Style15"/>
        <w:keepNext w:val="0"/>
        <w:keepLines w:val="0"/>
        <w:widowControl w:val="0"/>
        <w:numPr>
          <w:ilvl w:val="0"/>
          <w:numId w:val="11"/>
        </w:numPr>
        <w:shd w:val="clear" w:color="auto" w:fill="auto"/>
        <w:tabs>
          <w:tab w:pos="1169" w:val="left"/>
        </w:tabs>
        <w:bidi w:val="0"/>
        <w:spacing w:before="0" w:after="0" w:line="240" w:lineRule="auto"/>
        <w:ind w:left="0" w:right="0" w:firstLine="720"/>
        <w:jc w:val="both"/>
      </w:pPr>
      <w:r>
        <w:rPr>
          <w:spacing w:val="0"/>
          <w:w w:val="100"/>
          <w:position w:val="0"/>
          <w:shd w:val="clear" w:color="auto" w:fill="auto"/>
          <w:lang w:val="ru-RU" w:eastAsia="ru-RU" w:bidi="ru-RU"/>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Комиссией установлено, что Заказчиком в порядок рассмотрения и оценки заявок на участие в закупке включен следующий порядок, подлежащий применению при оценке заявок по показателю «наличие у участников закупки специалистов и иных работников определенного уровня квалификации» нестоимостного критерия «Квалификация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b/>
          <w:bCs/>
          <w:spacing w:val="0"/>
          <w:w w:val="100"/>
          <w:position w:val="0"/>
          <w:shd w:val="clear" w:color="auto" w:fill="auto"/>
          <w:lang w:val="ru-RU" w:eastAsia="ru-RU" w:bidi="ru-RU"/>
        </w:rPr>
        <w:t>Признак № 1.</w:t>
      </w:r>
    </w:p>
    <w:p>
      <w:pPr>
        <w:pStyle w:val="Style2"/>
        <w:keepNext w:val="0"/>
        <w:keepLines w:val="0"/>
        <w:widowControl w:val="0"/>
        <w:shd w:val="clear" w:color="auto" w:fill="auto"/>
        <w:bidi w:val="0"/>
        <w:spacing w:before="0" w:after="0" w:line="240" w:lineRule="auto"/>
        <w:ind w:left="0" w:right="0"/>
        <w:jc w:val="both"/>
      </w:pPr>
      <w:r>
        <w:rPr>
          <w:b/>
          <w:bCs/>
          <w:spacing w:val="0"/>
          <w:w w:val="100"/>
          <w:position w:val="0"/>
          <w:shd w:val="clear" w:color="auto" w:fill="auto"/>
          <w:lang w:val="ru-RU" w:eastAsia="ru-RU" w:bidi="ru-RU"/>
        </w:rPr>
        <w:t>Наличие сведений о специалистах, имеющих квалификационный аттестат аудитора.</w:t>
      </w:r>
    </w:p>
    <w:p>
      <w:pPr>
        <w:pStyle w:val="Style2"/>
        <w:keepNext w:val="0"/>
        <w:keepLines w:val="0"/>
        <w:widowControl w:val="0"/>
        <w:shd w:val="clear" w:color="auto" w:fill="auto"/>
        <w:bidi w:val="0"/>
        <w:spacing w:before="0" w:after="0" w:line="240" w:lineRule="auto"/>
        <w:ind w:left="0" w:right="0"/>
        <w:jc w:val="both"/>
      </w:pPr>
      <w:r>
        <w:rPr>
          <w:b/>
          <w:bCs/>
          <w:spacing w:val="0"/>
          <w:w w:val="100"/>
          <w:position w:val="0"/>
          <w:shd w:val="clear" w:color="auto" w:fill="auto"/>
          <w:lang w:val="ru-RU" w:eastAsia="ru-RU" w:bidi="ru-RU"/>
        </w:rPr>
        <w:t>Значимость показателя, детализирующего показатель оценки, процентов - 20.</w:t>
      </w:r>
    </w:p>
    <w:p>
      <w:pPr>
        <w:pStyle w:val="Style2"/>
        <w:keepNext w:val="0"/>
        <w:keepLines w:val="0"/>
        <w:widowControl w:val="0"/>
        <w:shd w:val="clear" w:color="auto" w:fill="auto"/>
        <w:bidi w:val="0"/>
        <w:spacing w:before="0" w:after="80" w:line="240" w:lineRule="auto"/>
        <w:ind w:left="0" w:right="0"/>
        <w:jc w:val="both"/>
      </w:pPr>
      <w:r>
        <w:rPr>
          <w:spacing w:val="0"/>
          <w:w w:val="100"/>
          <w:position w:val="0"/>
          <w:shd w:val="clear" w:color="auto" w:fill="auto"/>
          <w:lang w:val="ru-RU" w:eastAsia="ru-RU" w:bidi="ru-RU"/>
        </w:rPr>
        <w:t>Оценка заявок осуществляется по формуле, предусмотренным подпунктом «з» пункта 20 Положения:</w:t>
      </w:r>
    </w:p>
    <w:p>
      <w:pPr>
        <w:pStyle w:val="Style15"/>
        <w:keepNext w:val="0"/>
        <w:keepLines w:val="0"/>
        <w:widowControl w:val="0"/>
        <w:shd w:val="clear" w:color="auto" w:fill="auto"/>
        <w:tabs>
          <w:tab w:leader="hyphen" w:pos="2362" w:val="left"/>
          <w:tab w:leader="hyphen" w:pos="3158" w:val="left"/>
        </w:tabs>
        <w:bidi w:val="0"/>
        <w:spacing w:before="0" w:after="0" w:line="240" w:lineRule="auto"/>
        <w:ind w:left="0" w:right="0" w:firstLine="0"/>
        <w:jc w:val="left"/>
      </w:pPr>
      <w:r>
        <w:rPr>
          <w:spacing w:val="0"/>
          <w:w w:val="100"/>
          <w:position w:val="0"/>
          <w:shd w:val="clear" w:color="auto" w:fill="auto"/>
          <w:lang w:val="ru-RU" w:eastAsia="ru-RU" w:bidi="ru-RU"/>
        </w:rPr>
        <w:t xml:space="preserve">БХ. =( X, </w:t>
      </w:r>
      <w:r>
        <w:rPr>
          <w:color w:val="313132"/>
          <w:spacing w:val="0"/>
          <w:w w:val="100"/>
          <w:position w:val="0"/>
          <w:shd w:val="clear" w:color="auto" w:fill="auto"/>
          <w:lang w:val="ru-RU" w:eastAsia="ru-RU" w:bidi="ru-RU"/>
        </w:rPr>
        <w:t>-Х’Х</w:t>
      </w:r>
      <w:r>
        <w:rPr>
          <w:color w:val="313132"/>
          <w:spacing w:val="0"/>
          <w:w w:val="100"/>
          <w:position w:val="0"/>
          <w:shd w:val="clear" w:color="auto" w:fill="auto"/>
          <w:vertAlign w:val="superscript"/>
          <w:lang w:val="ru-RU" w:eastAsia="ru-RU" w:bidi="ru-RU"/>
        </w:rPr>
        <w:t>Л</w:t>
      </w:r>
      <w:r>
        <w:rPr>
          <w:color w:val="313132"/>
          <w:spacing w:val="0"/>
          <w:w w:val="100"/>
          <w:position w:val="0"/>
          <w:shd w:val="clear" w:color="auto" w:fill="auto"/>
          <w:lang w:val="ru-RU" w:eastAsia="ru-RU" w:bidi="ru-RU"/>
        </w:rPr>
        <w:t>)х</w:t>
      </w:r>
      <w:r>
        <w:rPr>
          <w:spacing w:val="0"/>
          <w:w w:val="100"/>
          <w:position w:val="0"/>
          <w:shd w:val="clear" w:color="auto" w:fill="auto"/>
          <w:lang w:val="ru-RU" w:eastAsia="ru-RU" w:bidi="ru-RU"/>
        </w:rPr>
        <w:tab/>
        <w:t>—</w:t>
        <w:tab/>
      </w:r>
    </w:p>
    <w:p>
      <w:pPr>
        <w:pStyle w:val="Style28"/>
        <w:keepNext w:val="0"/>
        <w:keepLines w:val="0"/>
        <w:widowControl w:val="0"/>
        <w:shd w:val="clear" w:color="auto" w:fill="auto"/>
        <w:tabs>
          <w:tab w:pos="713" w:val="left"/>
          <w:tab w:pos="1001" w:val="left"/>
        </w:tabs>
        <w:bidi w:val="0"/>
        <w:spacing w:before="0" w:after="320" w:line="180" w:lineRule="auto"/>
        <w:ind w:left="0" w:right="0" w:firstLine="420"/>
        <w:jc w:val="both"/>
      </w:pPr>
      <w:r>
        <w:rPr>
          <w:color w:val="313132"/>
          <w:spacing w:val="0"/>
          <w:w w:val="100"/>
          <w:position w:val="0"/>
          <w:shd w:val="clear" w:color="auto" w:fill="auto"/>
          <w:lang w:val="ru-RU" w:eastAsia="ru-RU" w:bidi="ru-RU"/>
        </w:rPr>
        <w:t>1</w:t>
        <w:tab/>
      </w:r>
      <w:r>
        <w:rPr>
          <w:color w:val="151515"/>
          <w:spacing w:val="0"/>
          <w:w w:val="100"/>
          <w:position w:val="0"/>
          <w:shd w:val="clear" w:color="auto" w:fill="auto"/>
          <w:lang w:val="ru-RU" w:eastAsia="ru-RU" w:bidi="ru-RU"/>
        </w:rPr>
        <w:t>'</w:t>
        <w:tab/>
        <w:t xml:space="preserve">। </w:t>
      </w:r>
      <w:r>
        <w:rPr>
          <w:spacing w:val="0"/>
          <w:w w:val="100"/>
          <w:position w:val="0"/>
          <w:shd w:val="clear" w:color="auto" w:fill="auto"/>
          <w:lang w:val="ru-RU" w:eastAsia="ru-RU" w:bidi="ru-RU"/>
        </w:rPr>
        <w:t xml:space="preserve">пяа </w:t>
      </w:r>
      <w:r>
        <w:rPr>
          <w:color w:val="313132"/>
          <w:spacing w:val="0"/>
          <w:w w:val="100"/>
          <w:position w:val="0"/>
          <w:shd w:val="clear" w:color="auto" w:fill="auto"/>
          <w:lang w:val="ru-RU" w:eastAsia="ru-RU" w:bidi="ru-RU"/>
        </w:rPr>
        <w:t xml:space="preserve">' у </w:t>
      </w:r>
      <w:r>
        <w:rPr>
          <w:spacing w:val="0"/>
          <w:w w:val="100"/>
          <w:position w:val="0"/>
          <w:shd w:val="clear" w:color="auto" w:fill="auto"/>
          <w:lang w:val="ru-RU" w:eastAsia="ru-RU" w:bidi="ru-RU"/>
        </w:rPr>
        <w:t xml:space="preserve">пред </w:t>
      </w:r>
      <w:r>
        <w:rPr>
          <w:color w:val="313132"/>
          <w:spacing w:val="0"/>
          <w:w w:val="100"/>
          <w:position w:val="0"/>
          <w:shd w:val="clear" w:color="auto" w:fill="auto"/>
          <w:lang w:val="ru-RU" w:eastAsia="ru-RU" w:bidi="ru-RU"/>
        </w:rPr>
        <w:t>у;?&lt;А</w:t>
      </w:r>
    </w:p>
    <w:p>
      <w:pPr>
        <w:pStyle w:val="Style28"/>
        <w:keepNext w:val="0"/>
        <w:keepLines w:val="0"/>
        <w:widowControl w:val="0"/>
        <w:shd w:val="clear" w:color="auto" w:fill="auto"/>
        <w:bidi w:val="0"/>
        <w:spacing w:before="0" w:after="0" w:line="240" w:lineRule="auto"/>
        <w:ind w:left="0" w:right="0" w:firstLine="520"/>
        <w:jc w:val="both"/>
      </w:pPr>
      <w:r>
        <w:rPr>
          <w:color w:val="151515"/>
          <w:spacing w:val="0"/>
          <w:w w:val="100"/>
          <w:position w:val="0"/>
          <w:shd w:val="clear" w:color="auto" w:fill="auto"/>
          <w:lang w:val="ru-RU" w:eastAsia="ru-RU" w:bidi="ru-RU"/>
        </w:rPr>
        <w:t xml:space="preserve">V </w:t>
      </w:r>
      <w:r>
        <w:rPr>
          <w:color w:val="6E6E6F"/>
          <w:spacing w:val="0"/>
          <w:w w:val="100"/>
          <w:position w:val="0"/>
          <w:shd w:val="clear" w:color="auto" w:fill="auto"/>
          <w:lang w:val="ru-RU" w:eastAsia="ru-RU" w:bidi="ru-RU"/>
        </w:rPr>
        <w:t>пред</w:t>
      </w:r>
    </w:p>
    <w:p>
      <w:pPr>
        <w:pStyle w:val="Style2"/>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 xml:space="preserve">где: </w:t>
      </w:r>
      <w:r>
        <w:rPr>
          <w:color w:val="525152"/>
          <w:spacing w:val="0"/>
          <w:w w:val="100"/>
          <w:position w:val="0"/>
          <w:shd w:val="clear" w:color="auto" w:fill="auto"/>
          <w:lang w:val="ru-RU" w:eastAsia="ru-RU" w:bidi="ru-RU"/>
        </w:rPr>
        <w:t xml:space="preserve">''•ячп </w:t>
      </w:r>
      <w:r>
        <w:rPr>
          <w:spacing w:val="0"/>
          <w:w w:val="100"/>
          <w:position w:val="0"/>
          <w:shd w:val="clear" w:color="auto" w:fill="auto"/>
          <w:lang w:val="ru-RU" w:eastAsia="ru-RU" w:bidi="ru-RU"/>
        </w:rPr>
        <w:t xml:space="preserve">- предельное минимальное значение характеристики (количество специалистов), установленное заказчиком, и равно </w:t>
      </w:r>
      <w:r>
        <w:rPr>
          <w:b/>
          <w:bCs/>
          <w:spacing w:val="0"/>
          <w:w w:val="100"/>
          <w:position w:val="0"/>
          <w:shd w:val="clear" w:color="auto" w:fill="auto"/>
          <w:lang w:val="ru-RU" w:eastAsia="ru-RU" w:bidi="ru-RU"/>
        </w:rPr>
        <w:t>25;</w:t>
      </w:r>
    </w:p>
    <w:p>
      <w:pPr>
        <w:pStyle w:val="Style28"/>
        <w:keepNext w:val="0"/>
        <w:keepLines w:val="0"/>
        <w:widowControl w:val="0"/>
        <w:shd w:val="clear" w:color="auto" w:fill="auto"/>
        <w:bidi w:val="0"/>
        <w:spacing w:before="0" w:after="0" w:line="199" w:lineRule="auto"/>
        <w:ind w:left="0" w:right="0" w:firstLine="520"/>
        <w:jc w:val="left"/>
      </w:pPr>
      <w:r>
        <w:rPr>
          <w:color w:val="151515"/>
          <w:spacing w:val="0"/>
          <w:w w:val="100"/>
          <w:position w:val="0"/>
          <w:shd w:val="clear" w:color="auto" w:fill="auto"/>
          <w:lang w:val="ru-RU" w:eastAsia="ru-RU" w:bidi="ru-RU"/>
        </w:rPr>
        <w:t xml:space="preserve">у </w:t>
      </w:r>
      <w:r>
        <w:rPr>
          <w:spacing w:val="0"/>
          <w:w w:val="100"/>
          <w:position w:val="0"/>
          <w:shd w:val="clear" w:color="auto" w:fill="auto"/>
          <w:lang w:val="ru-RU" w:eastAsia="ru-RU" w:bidi="ru-RU"/>
        </w:rPr>
        <w:t>пред</w:t>
      </w:r>
    </w:p>
    <w:p>
      <w:pPr>
        <w:pStyle w:val="Style2"/>
        <w:keepNext w:val="0"/>
        <w:keepLines w:val="0"/>
        <w:widowControl w:val="0"/>
        <w:shd w:val="clear" w:color="auto" w:fill="auto"/>
        <w:bidi w:val="0"/>
        <w:spacing w:before="0" w:after="0" w:line="240" w:lineRule="auto"/>
        <w:ind w:left="0" w:right="0" w:firstLine="880"/>
        <w:jc w:val="both"/>
      </w:pPr>
      <w:r>
        <w:rPr>
          <w:spacing w:val="0"/>
          <w:w w:val="100"/>
          <w:position w:val="0"/>
          <w:shd w:val="clear" w:color="auto" w:fill="auto"/>
          <w:lang w:val="ru-RU" w:eastAsia="ru-RU" w:bidi="ru-RU"/>
        </w:rPr>
        <w:t xml:space="preserve">' - предельное максимальное значение характеристики (количество специалистов), установленное заказчиком, и равно </w:t>
      </w:r>
      <w:r>
        <w:rPr>
          <w:b/>
          <w:bCs/>
          <w:spacing w:val="0"/>
          <w:w w:val="100"/>
          <w:position w:val="0"/>
          <w:shd w:val="clear" w:color="auto" w:fill="auto"/>
          <w:lang w:val="ru-RU" w:eastAsia="ru-RU" w:bidi="ru-RU"/>
        </w:rPr>
        <w:t>35;</w:t>
      </w:r>
    </w:p>
    <w:p>
      <w:pPr>
        <w:pStyle w:val="Style2"/>
        <w:keepNext w:val="0"/>
        <w:keepLines w:val="0"/>
        <w:widowControl w:val="0"/>
        <w:shd w:val="clear" w:color="auto" w:fill="auto"/>
        <w:bidi w:val="0"/>
        <w:spacing w:before="0" w:after="240" w:line="240" w:lineRule="auto"/>
        <w:ind w:left="0" w:right="0" w:firstLine="540"/>
        <w:jc w:val="both"/>
      </w:pPr>
      <w:r>
        <w:rPr>
          <w:spacing w:val="0"/>
          <w:w w:val="100"/>
          <w:position w:val="0"/>
          <w:shd w:val="clear" w:color="auto" w:fill="auto"/>
          <w:lang w:val="ru-RU" w:eastAsia="ru-RU" w:bidi="ru-RU"/>
        </w:rPr>
        <w:t xml:space="preserve">Х1 - значение (количество специалистов), содержащееся в предложении участника закупки, заявка (часть заявки) которого подлежит в соответствии с Федеральным </w:t>
      </w:r>
      <w:r>
        <w:rPr>
          <w:color w:val="313132"/>
          <w:spacing w:val="0"/>
          <w:w w:val="100"/>
          <w:position w:val="0"/>
          <w:u w:val="single"/>
          <w:shd w:val="clear" w:color="auto" w:fill="auto"/>
          <w:lang w:val="ru-RU" w:eastAsia="ru-RU" w:bidi="ru-RU"/>
        </w:rPr>
        <w:t>законом</w:t>
      </w:r>
      <w:r>
        <w:rPr>
          <w:color w:val="313132"/>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№44-ФЗ оценке по критерию оценки "квалификация участников закупки".</w:t>
      </w:r>
    </w:p>
    <w:p>
      <w:pPr>
        <w:pStyle w:val="Style2"/>
        <w:keepNext w:val="0"/>
        <w:keepLines w:val="0"/>
        <w:widowControl w:val="0"/>
        <w:shd w:val="clear" w:color="auto" w:fill="auto"/>
        <w:bidi w:val="0"/>
        <w:spacing w:before="0" w:after="0"/>
        <w:ind w:left="0" w:right="0" w:firstLine="720"/>
        <w:jc w:val="both"/>
      </w:pPr>
      <w:r>
        <w:rPr>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2"/>
        <w:keepNext w:val="0"/>
        <w:keepLines w:val="0"/>
        <w:widowControl w:val="0"/>
        <w:shd w:val="clear" w:color="auto" w:fill="auto"/>
        <w:bidi w:val="0"/>
        <w:spacing w:before="0" w:after="0"/>
        <w:ind w:left="0" w:right="0" w:firstLine="720"/>
        <w:jc w:val="both"/>
      </w:pPr>
      <w:r>
        <w:rPr>
          <w:b/>
          <w:bCs/>
          <w:spacing w:val="0"/>
          <w:w w:val="100"/>
          <w:position w:val="0"/>
          <w:shd w:val="clear" w:color="auto" w:fill="auto"/>
          <w:lang w:val="ru-RU" w:eastAsia="ru-RU" w:bidi="ru-RU"/>
        </w:rPr>
        <w:t>Признак №2.</w:t>
      </w:r>
      <w:r>
        <w:br w:type="page"/>
      </w:r>
    </w:p>
    <w:p>
      <w:pPr>
        <w:widowControl w:val="0"/>
        <w:spacing w:line="1" w:lineRule="exact"/>
      </w:pPr>
      <w:r>
        <mc:AlternateContent>
          <mc:Choice Requires="wps">
            <w:drawing>
              <wp:anchor distT="0" distB="707390" distL="0" distR="0" simplePos="0" relativeHeight="125829378" behindDoc="0" locked="0" layoutInCell="1" allowOverlap="1">
                <wp:simplePos x="0" y="0"/>
                <wp:positionH relativeFrom="page">
                  <wp:posOffset>1226820</wp:posOffset>
                </wp:positionH>
                <wp:positionV relativeFrom="paragraph">
                  <wp:posOffset>0</wp:posOffset>
                </wp:positionV>
                <wp:extent cx="5718175" cy="167640"/>
                <wp:wrapTopAndBottom/>
                <wp:docPr id="2" name="Shape 2"/>
                <a:graphic xmlns:a="http://schemas.openxmlformats.org/drawingml/2006/main">
                  <a:graphicData uri="http://schemas.microsoft.com/office/word/2010/wordprocessingShape">
                    <wps:wsp>
                      <wps:cNvSpPr txBox="1"/>
                      <wps:spPr>
                        <a:xfrm>
                          <a:ext cx="5718175" cy="1676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Численность аудиторов, являющихся работниками участника закупки по основному месту</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96.600000000000009pt;margin-top:0;width:450.25pt;height:13.200000000000001pt;z-index:-125829375;mso-wrap-distance-left:0;mso-wrap-distance-right:0;mso-wrap-distance-bottom:55.700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Численность аудиторов, являющихся работниками участника закупки по основному месту</w:t>
                      </w:r>
                    </w:p>
                  </w:txbxContent>
                </v:textbox>
                <w10:wrap type="topAndBottom" anchorx="page"/>
              </v:shape>
            </w:pict>
          </mc:Fallback>
        </mc:AlternateContent>
      </w:r>
      <w:r>
        <mc:AlternateContent>
          <mc:Choice Requires="wps">
            <w:drawing>
              <wp:anchor distT="155575" distB="421005" distL="0" distR="0" simplePos="0" relativeHeight="125829380" behindDoc="0" locked="0" layoutInCell="1" allowOverlap="1">
                <wp:simplePos x="0" y="0"/>
                <wp:positionH relativeFrom="page">
                  <wp:posOffset>778510</wp:posOffset>
                </wp:positionH>
                <wp:positionV relativeFrom="paragraph">
                  <wp:posOffset>155575</wp:posOffset>
                </wp:positionV>
                <wp:extent cx="4992370" cy="298450"/>
                <wp:wrapTopAndBottom/>
                <wp:docPr id="4" name="Shape 4"/>
                <a:graphic xmlns:a="http://schemas.openxmlformats.org/drawingml/2006/main">
                  <a:graphicData uri="http://schemas.microsoft.com/office/word/2010/wordprocessingShape">
                    <wps:wsp>
                      <wps:cNvSpPr txBox="1"/>
                      <wps:spPr>
                        <a:xfrm>
                          <a:ext cx="4992370" cy="298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работы.</w:t>
                            </w:r>
                          </w:p>
                          <w:p>
                            <w:pPr>
                              <w:pStyle w:val="Style2"/>
                              <w:keepNext w:val="0"/>
                              <w:keepLines w:val="0"/>
                              <w:widowControl w:val="0"/>
                              <w:shd w:val="clear" w:color="auto" w:fill="auto"/>
                              <w:bidi w:val="0"/>
                              <w:spacing w:before="0" w:after="0" w:line="240" w:lineRule="auto"/>
                              <w:ind w:left="0" w:right="0"/>
                              <w:jc w:val="left"/>
                            </w:pPr>
                            <w:r>
                              <w:rPr>
                                <w:b/>
                                <w:bCs/>
                                <w:color w:val="000000"/>
                                <w:spacing w:val="0"/>
                                <w:w w:val="100"/>
                                <w:position w:val="0"/>
                                <w:shd w:val="clear" w:color="auto" w:fill="auto"/>
                                <w:lang w:val="ru-RU" w:eastAsia="ru-RU" w:bidi="ru-RU"/>
                              </w:rPr>
                              <w:t>Значимость показателя, детализирующего показатель оценки, процентов - 80.</w:t>
                            </w:r>
                          </w:p>
                        </w:txbxContent>
                      </wps:txbx>
                      <wps:bodyPr lIns="0" tIns="0" rIns="0" bIns="0">
                        <a:noAutoFit/>
                      </wps:bodyPr>
                    </wps:wsp>
                  </a:graphicData>
                </a:graphic>
              </wp:anchor>
            </w:drawing>
          </mc:Choice>
          <mc:Fallback>
            <w:pict>
              <v:shape id="_x0000_s1030" type="#_x0000_t202" style="position:absolute;margin-left:61.300000000000004pt;margin-top:12.25pt;width:393.10000000000002pt;height:23.5pt;z-index:-125829373;mso-wrap-distance-left:0;mso-wrap-distance-top:12.25pt;mso-wrap-distance-right:0;mso-wrap-distance-bottom:33.1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работы.</w:t>
                      </w:r>
                    </w:p>
                    <w:p>
                      <w:pPr>
                        <w:pStyle w:val="Style2"/>
                        <w:keepNext w:val="0"/>
                        <w:keepLines w:val="0"/>
                        <w:widowControl w:val="0"/>
                        <w:shd w:val="clear" w:color="auto" w:fill="auto"/>
                        <w:bidi w:val="0"/>
                        <w:spacing w:before="0" w:after="0" w:line="240" w:lineRule="auto"/>
                        <w:ind w:left="0" w:right="0"/>
                        <w:jc w:val="left"/>
                      </w:pPr>
                      <w:r>
                        <w:rPr>
                          <w:b/>
                          <w:bCs/>
                          <w:color w:val="000000"/>
                          <w:spacing w:val="0"/>
                          <w:w w:val="100"/>
                          <w:position w:val="0"/>
                          <w:shd w:val="clear" w:color="auto" w:fill="auto"/>
                          <w:lang w:val="ru-RU" w:eastAsia="ru-RU" w:bidi="ru-RU"/>
                        </w:rPr>
                        <w:t>Значимость показателя, детализирующего показатель оценки, процентов - 80.</w:t>
                      </w:r>
                    </w:p>
                  </w:txbxContent>
                </v:textbox>
                <w10:wrap type="topAndBottom" anchorx="page"/>
              </v:shape>
            </w:pict>
          </mc:Fallback>
        </mc:AlternateContent>
      </w:r>
      <w:r>
        <mc:AlternateContent>
          <mc:Choice Requires="wps">
            <w:drawing>
              <wp:anchor distT="438785" distB="274955" distL="0" distR="0" simplePos="0" relativeHeight="125829382" behindDoc="0" locked="0" layoutInCell="1" allowOverlap="1">
                <wp:simplePos x="0" y="0"/>
                <wp:positionH relativeFrom="page">
                  <wp:posOffset>778510</wp:posOffset>
                </wp:positionH>
                <wp:positionV relativeFrom="paragraph">
                  <wp:posOffset>438785</wp:posOffset>
                </wp:positionV>
                <wp:extent cx="5556250" cy="161290"/>
                <wp:wrapTopAndBottom/>
                <wp:docPr id="6" name="Shape 6"/>
                <a:graphic xmlns:a="http://schemas.openxmlformats.org/drawingml/2006/main">
                  <a:graphicData uri="http://schemas.microsoft.com/office/word/2010/wordprocessingShape">
                    <wps:wsp>
                      <wps:cNvSpPr txBox="1"/>
                      <wps:spPr>
                        <a:xfrm>
                          <a:ext cx="5556250"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Оценка заявок осуществляется по формуле, предусмотренным подпунктом «з» пункта 20 Положения:</w:t>
                            </w:r>
                          </w:p>
                        </w:txbxContent>
                      </wps:txbx>
                      <wps:bodyPr wrap="none" lIns="0" tIns="0" rIns="0" bIns="0">
                        <a:noAutoFit/>
                      </wps:bodyPr>
                    </wps:wsp>
                  </a:graphicData>
                </a:graphic>
              </wp:anchor>
            </w:drawing>
          </mc:Choice>
          <mc:Fallback>
            <w:pict>
              <v:shape id="_x0000_s1032" type="#_x0000_t202" style="position:absolute;margin-left:61.300000000000004pt;margin-top:34.550000000000004pt;width:437.5pt;height:12.700000000000001pt;z-index:-125829371;mso-wrap-distance-left:0;mso-wrap-distance-top:34.550000000000004pt;mso-wrap-distance-right:0;mso-wrap-distance-bottom:21.65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Оценка заявок осуществляется по формуле, предусмотренным подпунктом «з» пункта 20 Положения:</w:t>
                      </w:r>
                    </w:p>
                  </w:txbxContent>
                </v:textbox>
                <w10:wrap type="topAndBottom" anchorx="page"/>
              </v:shape>
            </w:pict>
          </mc:Fallback>
        </mc:AlternateContent>
      </w:r>
      <w:r>
        <mc:AlternateContent>
          <mc:Choice Requires="wps">
            <w:drawing>
              <wp:anchor distT="603250" distB="635" distL="0" distR="0" simplePos="0" relativeHeight="125829384" behindDoc="0" locked="0" layoutInCell="1" allowOverlap="1">
                <wp:simplePos x="0" y="0"/>
                <wp:positionH relativeFrom="page">
                  <wp:posOffset>827405</wp:posOffset>
                </wp:positionH>
                <wp:positionV relativeFrom="paragraph">
                  <wp:posOffset>603250</wp:posOffset>
                </wp:positionV>
                <wp:extent cx="1127760" cy="271145"/>
                <wp:wrapTopAndBottom/>
                <wp:docPr id="8" name="Shape 8"/>
                <a:graphic xmlns:a="http://schemas.openxmlformats.org/drawingml/2006/main">
                  <a:graphicData uri="http://schemas.microsoft.com/office/word/2010/wordprocessingShape">
                    <wps:wsp>
                      <wps:cNvSpPr txBox="1"/>
                      <wps:spPr>
                        <a:xfrm>
                          <a:ext cx="1127760" cy="271145"/>
                        </a:xfrm>
                        <a:prstGeom prst="rect"/>
                        <a:noFill/>
                      </wps:spPr>
                      <wps:txbx>
                        <w:txbxContent>
                          <w:p>
                            <w:pPr>
                              <w:pStyle w:val="Style5"/>
                              <w:keepNext/>
                              <w:keepLines/>
                              <w:widowControl w:val="0"/>
                              <w:shd w:val="clear" w:color="auto" w:fill="auto"/>
                              <w:bidi w:val="0"/>
                              <w:spacing w:before="0" w:after="0" w:line="240" w:lineRule="auto"/>
                              <w:ind w:left="0" w:right="0" w:firstLine="0"/>
                              <w:jc w:val="left"/>
                            </w:pPr>
                            <w:bookmarkStart w:id="0" w:name="bookmark0"/>
                            <w:r>
                              <w:rPr>
                                <w:rFonts w:ascii="Times New Roman" w:eastAsia="Times New Roman" w:hAnsi="Times New Roman" w:cs="Times New Roman"/>
                                <w:smallCaps/>
                                <w:spacing w:val="0"/>
                                <w:w w:val="100"/>
                                <w:position w:val="0"/>
                                <w:sz w:val="36"/>
                                <w:szCs w:val="36"/>
                                <w:shd w:val="clear" w:color="auto" w:fill="auto"/>
                                <w:lang w:val="ru-RU" w:eastAsia="ru-RU" w:bidi="ru-RU"/>
                              </w:rPr>
                              <w:t>ех,</w:t>
                            </w:r>
                            <w:r>
                              <w:rPr>
                                <w:spacing w:val="0"/>
                                <w:w w:val="100"/>
                                <w:position w:val="0"/>
                                <w:shd w:val="clear" w:color="auto" w:fill="auto"/>
                                <w:lang w:val="ru-RU" w:eastAsia="ru-RU" w:bidi="ru-RU"/>
                              </w:rPr>
                              <w:t xml:space="preserve"> -(х, -х;~)</w:t>
                            </w:r>
                            <w:bookmarkEnd w:id="0"/>
                          </w:p>
                        </w:txbxContent>
                      </wps:txbx>
                      <wps:bodyPr wrap="none" lIns="0" tIns="0" rIns="0" bIns="0">
                        <a:noAutoFit/>
                      </wps:bodyPr>
                    </wps:wsp>
                  </a:graphicData>
                </a:graphic>
              </wp:anchor>
            </w:drawing>
          </mc:Choice>
          <mc:Fallback>
            <w:pict>
              <v:shape id="_x0000_s1034" type="#_x0000_t202" style="position:absolute;margin-left:65.150000000000006pt;margin-top:47.5pt;width:88.799999999999997pt;height:21.350000000000001pt;z-index:-125829369;mso-wrap-distance-left:0;mso-wrap-distance-top:47.5pt;mso-wrap-distance-right:0;mso-wrap-distance-bottom:5.0000000000000003e-002pt;mso-position-horizontal-relative:page" filled="f" stroked="f">
                <v:textbox inset="0,0,0,0">
                  <w:txbxContent>
                    <w:p>
                      <w:pPr>
                        <w:pStyle w:val="Style5"/>
                        <w:keepNext/>
                        <w:keepLines/>
                        <w:widowControl w:val="0"/>
                        <w:shd w:val="clear" w:color="auto" w:fill="auto"/>
                        <w:bidi w:val="0"/>
                        <w:spacing w:before="0" w:after="0" w:line="240" w:lineRule="auto"/>
                        <w:ind w:left="0" w:right="0" w:firstLine="0"/>
                        <w:jc w:val="left"/>
                      </w:pPr>
                      <w:bookmarkStart w:id="0" w:name="bookmark0"/>
                      <w:r>
                        <w:rPr>
                          <w:rFonts w:ascii="Times New Roman" w:eastAsia="Times New Roman" w:hAnsi="Times New Roman" w:cs="Times New Roman"/>
                          <w:smallCaps/>
                          <w:spacing w:val="0"/>
                          <w:w w:val="100"/>
                          <w:position w:val="0"/>
                          <w:sz w:val="36"/>
                          <w:szCs w:val="36"/>
                          <w:shd w:val="clear" w:color="auto" w:fill="auto"/>
                          <w:lang w:val="ru-RU" w:eastAsia="ru-RU" w:bidi="ru-RU"/>
                        </w:rPr>
                        <w:t>ех,</w:t>
                      </w:r>
                      <w:r>
                        <w:rPr>
                          <w:spacing w:val="0"/>
                          <w:w w:val="100"/>
                          <w:position w:val="0"/>
                          <w:shd w:val="clear" w:color="auto" w:fill="auto"/>
                          <w:lang w:val="ru-RU" w:eastAsia="ru-RU" w:bidi="ru-RU"/>
                        </w:rPr>
                        <w:t xml:space="preserve"> -(х, -х;~)</w:t>
                      </w:r>
                      <w:bookmarkEnd w:id="0"/>
                    </w:p>
                  </w:txbxContent>
                </v:textbox>
                <w10:wrap type="topAndBottom" anchorx="page"/>
              </v:shape>
            </w:pict>
          </mc:Fallback>
        </mc:AlternateContent>
      </w:r>
      <w:r>
        <mc:AlternateContent>
          <mc:Choice Requires="wps">
            <w:drawing>
              <wp:anchor distT="567055" distB="118745" distL="0" distR="0" simplePos="0" relativeHeight="125829386" behindDoc="0" locked="0" layoutInCell="1" allowOverlap="1">
                <wp:simplePos x="0" y="0"/>
                <wp:positionH relativeFrom="page">
                  <wp:posOffset>2326640</wp:posOffset>
                </wp:positionH>
                <wp:positionV relativeFrom="paragraph">
                  <wp:posOffset>567055</wp:posOffset>
                </wp:positionV>
                <wp:extent cx="255905" cy="189230"/>
                <wp:wrapTopAndBottom/>
                <wp:docPr id="10" name="Shape 10"/>
                <a:graphic xmlns:a="http://schemas.openxmlformats.org/drawingml/2006/main">
                  <a:graphicData uri="http://schemas.microsoft.com/office/word/2010/wordprocessingShape">
                    <wps:wsp>
                      <wps:cNvSpPr txBox="1"/>
                      <wps:spPr>
                        <a:xfrm>
                          <a:ext cx="255905" cy="189230"/>
                        </a:xfrm>
                        <a:prstGeom prst="rect"/>
                        <a:noFill/>
                      </wps:spPr>
                      <wps:txbx>
                        <w:txbxContent>
                          <w:p>
                            <w:pPr>
                              <w:pStyle w:val="Style8"/>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color w:val="313132"/>
                                <w:spacing w:val="0"/>
                                <w:w w:val="100"/>
                                <w:position w:val="0"/>
                                <w:sz w:val="24"/>
                                <w:szCs w:val="24"/>
                                <w:shd w:val="clear" w:color="auto" w:fill="auto"/>
                                <w:lang w:val="ru-RU" w:eastAsia="ru-RU" w:bidi="ru-RU"/>
                              </w:rPr>
                              <w:t>100</w:t>
                            </w:r>
                          </w:p>
                        </w:txbxContent>
                      </wps:txbx>
                      <wps:bodyPr wrap="none" lIns="0" tIns="0" rIns="0" bIns="0">
                        <a:noAutoFit/>
                      </wps:bodyPr>
                    </wps:wsp>
                  </a:graphicData>
                </a:graphic>
              </wp:anchor>
            </w:drawing>
          </mc:Choice>
          <mc:Fallback>
            <w:pict>
              <v:shape id="_x0000_s1036" type="#_x0000_t202" style="position:absolute;margin-left:183.20000000000002pt;margin-top:44.649999999999999pt;width:20.150000000000002pt;height:14.9pt;z-index:-125829367;mso-wrap-distance-left:0;mso-wrap-distance-top:44.649999999999999pt;mso-wrap-distance-right:0;mso-wrap-distance-bottom:9.3499999999999996pt;mso-position-horizontal-relative:page" filled="f" stroked="f">
                <v:textbox inset="0,0,0,0">
                  <w:txbxContent>
                    <w:p>
                      <w:pPr>
                        <w:pStyle w:val="Style8"/>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color w:val="313132"/>
                          <w:spacing w:val="0"/>
                          <w:w w:val="100"/>
                          <w:position w:val="0"/>
                          <w:sz w:val="24"/>
                          <w:szCs w:val="24"/>
                          <w:shd w:val="clear" w:color="auto" w:fill="auto"/>
                          <w:lang w:val="ru-RU" w:eastAsia="ru-RU" w:bidi="ru-RU"/>
                        </w:rPr>
                        <w:t>100</w:t>
                      </w:r>
                    </w:p>
                  </w:txbxContent>
                </v:textbox>
                <w10:wrap type="topAndBottom" anchorx="page"/>
              </v:shape>
            </w:pict>
          </mc:Fallback>
        </mc:AlternateContent>
      </w:r>
    </w:p>
    <w:p>
      <w:pPr>
        <w:pStyle w:val="Style28"/>
        <w:keepNext w:val="0"/>
        <w:keepLines w:val="0"/>
        <w:widowControl w:val="0"/>
        <w:shd w:val="clear" w:color="auto" w:fill="auto"/>
        <w:bidi w:val="0"/>
        <w:spacing w:before="0" w:after="200" w:line="240" w:lineRule="auto"/>
        <w:ind w:left="2240" w:right="0" w:firstLine="0"/>
        <w:jc w:val="left"/>
      </w:pPr>
      <w:r>
        <w:rPr>
          <w:color w:val="6E6E6F"/>
          <w:spacing w:val="0"/>
          <w:w w:val="100"/>
          <w:position w:val="0"/>
          <w:shd w:val="clear" w:color="auto" w:fill="auto"/>
          <w:lang w:val="ru-RU" w:eastAsia="ru-RU" w:bidi="ru-RU"/>
        </w:rPr>
        <w:t>птах</w:t>
      </w:r>
    </w:p>
    <w:p>
      <w:pPr>
        <w:pStyle w:val="Style28"/>
        <w:keepNext w:val="0"/>
        <w:keepLines w:val="0"/>
        <w:widowControl w:val="0"/>
        <w:shd w:val="clear" w:color="auto" w:fill="auto"/>
        <w:bidi w:val="0"/>
        <w:spacing w:before="0" w:after="0" w:line="240" w:lineRule="auto"/>
        <w:ind w:left="0" w:right="0"/>
        <w:jc w:val="both"/>
      </w:pPr>
      <w:r>
        <w:rPr>
          <w:color w:val="151515"/>
          <w:spacing w:val="0"/>
          <w:w w:val="100"/>
          <w:position w:val="0"/>
          <w:shd w:val="clear" w:color="auto" w:fill="auto"/>
          <w:lang w:val="ru-RU" w:eastAsia="ru-RU" w:bidi="ru-RU"/>
        </w:rPr>
        <w:t xml:space="preserve">у </w:t>
      </w:r>
      <w:r>
        <w:rPr>
          <w:color w:val="6E6E6F"/>
          <w:spacing w:val="0"/>
          <w:w w:val="100"/>
          <w:position w:val="0"/>
          <w:shd w:val="clear" w:color="auto" w:fill="auto"/>
          <w:vertAlign w:val="superscript"/>
          <w:lang w:val="ru-RU" w:eastAsia="ru-RU" w:bidi="ru-RU"/>
        </w:rPr>
        <w:t>П</w:t>
      </w:r>
      <w:r>
        <w:rPr>
          <w:color w:val="6E6E6F"/>
          <w:spacing w:val="0"/>
          <w:w w:val="100"/>
          <w:position w:val="0"/>
          <w:shd w:val="clear" w:color="auto" w:fill="auto"/>
          <w:lang w:val="ru-RU" w:eastAsia="ru-RU" w:bidi="ru-RU"/>
        </w:rPr>
        <w:t>?</w:t>
      </w:r>
      <w:r>
        <w:rPr>
          <w:color w:val="6E6E6F"/>
          <w:spacing w:val="0"/>
          <w:w w:val="100"/>
          <w:position w:val="0"/>
          <w:shd w:val="clear" w:color="auto" w:fill="auto"/>
          <w:vertAlign w:val="superscript"/>
          <w:lang w:val="ru-RU" w:eastAsia="ru-RU" w:bidi="ru-RU"/>
        </w:rPr>
        <w:t>&lt;</w:t>
      </w:r>
      <w:r>
        <w:rPr>
          <w:color w:val="6E6E6F"/>
          <w:spacing w:val="0"/>
          <w:w w:val="100"/>
          <w:position w:val="0"/>
          <w:shd w:val="clear" w:color="auto" w:fill="auto"/>
          <w:lang w:val="ru-RU" w:eastAsia="ru-RU" w:bidi="ru-RU"/>
        </w:rPr>
        <w:t>’Л</w:t>
      </w:r>
    </w:p>
    <w:p>
      <w:pPr>
        <w:pStyle w:val="Style2"/>
        <w:keepNext w:val="0"/>
        <w:keepLines w:val="0"/>
        <w:widowControl w:val="0"/>
        <w:shd w:val="clear" w:color="auto" w:fill="auto"/>
        <w:bidi w:val="0"/>
        <w:spacing w:before="0" w:after="0" w:line="264" w:lineRule="auto"/>
        <w:ind w:left="0" w:right="0" w:firstLine="0"/>
        <w:jc w:val="both"/>
      </w:pPr>
      <w:r>
        <w:rPr>
          <w:spacing w:val="0"/>
          <w:w w:val="100"/>
          <w:position w:val="0"/>
          <w:shd w:val="clear" w:color="auto" w:fill="auto"/>
          <w:lang w:val="ru-RU" w:eastAsia="ru-RU" w:bidi="ru-RU"/>
        </w:rPr>
        <w:t xml:space="preserve">где: </w:t>
      </w:r>
      <w:r>
        <w:rPr>
          <w:spacing w:val="0"/>
          <w:w w:val="100"/>
          <w:position w:val="0"/>
          <w:shd w:val="clear" w:color="auto" w:fill="auto"/>
          <w:vertAlign w:val="superscript"/>
          <w:lang w:val="ru-RU" w:eastAsia="ru-RU" w:bidi="ru-RU"/>
        </w:rPr>
        <w:t>Л</w:t>
      </w:r>
      <w:r>
        <w:rPr>
          <w:spacing w:val="0"/>
          <w:w w:val="100"/>
          <w:position w:val="0"/>
          <w:shd w:val="clear" w:color="auto" w:fill="auto"/>
          <w:lang w:val="ru-RU" w:eastAsia="ru-RU" w:bidi="ru-RU"/>
        </w:rPr>
        <w:t>тал - предельное минимальное значение характеристики (количество специалистов), установленное заказчиком, и равно 14;</w:t>
      </w:r>
    </w:p>
    <w:p>
      <w:pPr>
        <w:pStyle w:val="Style28"/>
        <w:keepNext w:val="0"/>
        <w:keepLines w:val="0"/>
        <w:widowControl w:val="0"/>
        <w:shd w:val="clear" w:color="auto" w:fill="auto"/>
        <w:bidi w:val="0"/>
        <w:spacing w:before="0" w:after="0" w:line="240" w:lineRule="auto"/>
        <w:ind w:left="0" w:right="0"/>
        <w:jc w:val="both"/>
      </w:pPr>
      <w:r>
        <w:rPr>
          <w:color w:val="151515"/>
          <w:spacing w:val="0"/>
          <w:w w:val="100"/>
          <w:position w:val="0"/>
          <w:shd w:val="clear" w:color="auto" w:fill="auto"/>
          <w:lang w:val="ru-RU" w:eastAsia="ru-RU" w:bidi="ru-RU"/>
        </w:rPr>
        <w:t xml:space="preserve">у </w:t>
      </w:r>
      <w:r>
        <w:rPr>
          <w:spacing w:val="0"/>
          <w:w w:val="100"/>
          <w:position w:val="0"/>
          <w:shd w:val="clear" w:color="auto" w:fill="auto"/>
          <w:vertAlign w:val="superscript"/>
          <w:lang w:val="ru-RU" w:eastAsia="ru-RU" w:bidi="ru-RU"/>
        </w:rPr>
        <w:t>71</w:t>
      </w:r>
      <w:r>
        <w:rPr>
          <w:spacing w:val="0"/>
          <w:w w:val="100"/>
          <w:position w:val="0"/>
          <w:shd w:val="clear" w:color="auto" w:fill="auto"/>
          <w:lang w:val="ru-RU" w:eastAsia="ru-RU" w:bidi="ru-RU"/>
        </w:rPr>
        <w:t>?</w:t>
      </w:r>
      <w:r>
        <w:rPr>
          <w:spacing w:val="0"/>
          <w:w w:val="100"/>
          <w:position w:val="0"/>
          <w:shd w:val="clear" w:color="auto" w:fill="auto"/>
          <w:vertAlign w:val="superscript"/>
          <w:lang w:val="ru-RU" w:eastAsia="ru-RU" w:bidi="ru-RU"/>
        </w:rPr>
        <w:t>с</w:t>
      </w:r>
      <w:r>
        <w:rPr>
          <w:spacing w:val="0"/>
          <w:w w:val="100"/>
          <w:position w:val="0"/>
          <w:shd w:val="clear" w:color="auto" w:fill="auto"/>
          <w:lang w:val="ru-RU" w:eastAsia="ru-RU" w:bidi="ru-RU"/>
        </w:rPr>
        <w:t>л</w:t>
      </w:r>
    </w:p>
    <w:p>
      <w:pPr>
        <w:pStyle w:val="Style2"/>
        <w:keepNext w:val="0"/>
        <w:keepLines w:val="0"/>
        <w:widowControl w:val="0"/>
        <w:shd w:val="clear" w:color="auto" w:fill="auto"/>
        <w:bidi w:val="0"/>
        <w:spacing w:before="0" w:after="0" w:line="276" w:lineRule="auto"/>
        <w:ind w:left="0" w:right="0" w:firstLine="540"/>
        <w:jc w:val="both"/>
      </w:pPr>
      <w:r>
        <w:rPr>
          <w:spacing w:val="0"/>
          <w:w w:val="100"/>
          <w:position w:val="0"/>
          <w:shd w:val="clear" w:color="auto" w:fill="auto"/>
          <w:lang w:val="ru-RU" w:eastAsia="ru-RU" w:bidi="ru-RU"/>
        </w:rPr>
        <w:t>• ‘и х - предельное максимальное значение характеристики (количество специалистов), установленное заказчиком, и равно 15;</w:t>
      </w:r>
    </w:p>
    <w:p>
      <w:pPr>
        <w:pStyle w:val="Style2"/>
        <w:keepNext w:val="0"/>
        <w:keepLines w:val="0"/>
        <w:widowControl w:val="0"/>
        <w:shd w:val="clear" w:color="auto" w:fill="auto"/>
        <w:bidi w:val="0"/>
        <w:spacing w:before="0" w:after="200" w:line="262" w:lineRule="auto"/>
        <w:ind w:left="0" w:right="0" w:firstLine="540"/>
        <w:jc w:val="both"/>
      </w:pPr>
      <w:r>
        <w:rPr>
          <w:spacing w:val="0"/>
          <w:w w:val="100"/>
          <w:position w:val="0"/>
          <w:shd w:val="clear" w:color="auto" w:fill="auto"/>
          <w:lang w:val="ru-RU" w:eastAsia="ru-RU" w:bidi="ru-RU"/>
        </w:rPr>
        <w:t>Х1 - значение (количество специалистов), содержащееся в предложении участника закупки, заявка (часть заявки) которого подлежит в соответствии с Федеральным законом №44-ФЗ оценке по критерию оценки "квалификация участников закупки".</w:t>
      </w:r>
    </w:p>
    <w:p>
      <w:pPr>
        <w:pStyle w:val="Style2"/>
        <w:keepNext w:val="0"/>
        <w:keepLines w:val="0"/>
        <w:widowControl w:val="0"/>
        <w:shd w:val="clear" w:color="auto" w:fill="auto"/>
        <w:bidi w:val="0"/>
        <w:spacing w:before="0" w:after="300" w:line="254" w:lineRule="auto"/>
        <w:ind w:left="0" w:right="0" w:firstLine="720"/>
        <w:jc w:val="both"/>
      </w:pPr>
      <w:r>
        <w:rPr>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рамках оценки заявок по детализирующему показателю оценивается количество специалистов, имеющих квалификационный аттестат аудитора, выданный СРО аудиторов, на право осуществления аудиторской деятельности, выданный в соответствии с Федеральным законом № ЗО7-ФЗ </w:t>
      </w:r>
      <w:r>
        <w:rPr>
          <w:color w:val="000000"/>
          <w:spacing w:val="0"/>
          <w:w w:val="100"/>
          <w:position w:val="0"/>
          <w:u w:val="single"/>
          <w:shd w:val="clear" w:color="auto" w:fill="auto"/>
          <w:lang w:val="ru-RU" w:eastAsia="ru-RU" w:bidi="ru-RU"/>
        </w:rPr>
        <w:t>и отдельно оценивается количество специалистов, также имеющих квалификационный аттестат аудитора и являющихся работниками участника закупки по основному месту работы.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участник закупки является для таких специалистов основным местом работы (на основании части 3 статьи 4 № ЗО7-ФЗ «Об аудиторской деятельности» - с действительным квалификационным аттестатом, выданным в порядке, установленном № ЗО7-ФЗ «Об аудиторской деятельности»).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документов, подтверждающих наличие специалистов и иных работников, их квалификацию, предусмотренные перечнем по двум признакам следующий: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трудовая книжка или сведения о трудовой деятельности, предусмотренные статьей 66.1 Трудового кодекса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расширенная выписка из реестра аудиторов и аудиторских организаций Саморегулируемой организации аудиторов Ассоциации «Содружество» (СРО ААС), содержащая информацию обо всех аудиторах, являющихся работниками аудиторской организации. Срок действия выписки 1 (один) месяц с даты её выдачи.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Единица измерения характеристики детализирующего показателя оценки в соответствии с Общероссийским классификатором единиц измерения ОК 015</w:t>
        <w:softHyphen/>
        <w:t>94: 792 Человек.</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Непредставление в составе заявки на участие в закупке вышеуказанных документов </w:t>
      </w:r>
      <w:r>
        <w:rPr>
          <w:color w:val="000000"/>
          <w:spacing w:val="0"/>
          <w:w w:val="100"/>
          <w:position w:val="0"/>
          <w:shd w:val="clear" w:color="auto" w:fill="auto"/>
          <w:lang w:val="ru-RU" w:eastAsia="ru-RU" w:bidi="ru-RU"/>
        </w:rPr>
        <w:t xml:space="preserve">и/или сводного перечня аудиторов, содержание в представленной заявке (информации, документах) противоречивой информации </w:t>
      </w:r>
      <w:r>
        <w:rPr>
          <w:b/>
          <w:bCs/>
          <w:spacing w:val="0"/>
          <w:w w:val="100"/>
          <w:position w:val="0"/>
          <w:shd w:val="clear" w:color="auto" w:fill="auto"/>
          <w:lang w:val="ru-RU" w:eastAsia="ru-RU" w:bidi="ru-RU"/>
        </w:rPr>
        <w:t xml:space="preserve">не является основанием для отказа в допуске к участию в закупке, </w:t>
      </w:r>
      <w:r>
        <w:rPr>
          <w:spacing w:val="0"/>
          <w:w w:val="100"/>
          <w:position w:val="0"/>
          <w:shd w:val="clear" w:color="auto" w:fill="auto"/>
          <w:lang w:val="ru-RU" w:eastAsia="ru-RU" w:bidi="ru-RU"/>
        </w:rPr>
        <w:t>однако может привести к невозможности оценки заявки по показателю.</w:t>
      </w:r>
    </w:p>
    <w:p>
      <w:pPr>
        <w:pStyle w:val="Style15"/>
        <w:keepNext w:val="0"/>
        <w:keepLines w:val="0"/>
        <w:widowControl w:val="0"/>
        <w:shd w:val="clear" w:color="auto" w:fill="auto"/>
        <w:bidi w:val="0"/>
        <w:spacing w:before="0" w:after="0" w:line="240" w:lineRule="auto"/>
        <w:ind w:left="0" w:right="0" w:firstLine="720"/>
        <w:jc w:val="both"/>
      </w:pPr>
      <w:r>
        <w:rPr>
          <w:b/>
          <w:bCs/>
          <w:spacing w:val="0"/>
          <w:w w:val="100"/>
          <w:position w:val="0"/>
          <w:u w:val="single"/>
          <w:shd w:val="clear" w:color="auto" w:fill="auto"/>
          <w:lang w:val="ru-RU" w:eastAsia="ru-RU" w:bidi="ru-RU"/>
        </w:rPr>
        <w:t>По доводу 2.</w:t>
      </w:r>
      <w:r>
        <w:rPr>
          <w:b/>
          <w:bCs/>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Перечень документов, требуемый Заказчиком для квалификации специалистов, не противоречит Закону о контрактной системе, а также, Положению № 2604 и Федеральному закону № ЗО7-ФЗ «Об аудиторской деятельности».</w:t>
      </w:r>
    </w:p>
    <w:p>
      <w:pPr>
        <w:pStyle w:val="Style15"/>
        <w:keepNext w:val="0"/>
        <w:keepLines w:val="0"/>
        <w:widowControl w:val="0"/>
        <w:shd w:val="clear" w:color="auto" w:fill="auto"/>
        <w:bidi w:val="0"/>
        <w:spacing w:before="0" w:after="0" w:line="240" w:lineRule="auto"/>
        <w:ind w:left="0" w:right="0" w:firstLine="720"/>
        <w:jc w:val="both"/>
      </w:pPr>
      <w:r>
        <w:rPr>
          <w:b/>
          <w:bCs/>
          <w:spacing w:val="0"/>
          <w:w w:val="100"/>
          <w:position w:val="0"/>
          <w:u w:val="single"/>
          <w:shd w:val="clear" w:color="auto" w:fill="auto"/>
          <w:lang w:val="ru-RU" w:eastAsia="ru-RU" w:bidi="ru-RU"/>
        </w:rPr>
        <w:t>По доводу 3.</w:t>
      </w:r>
      <w:r>
        <w:rPr>
          <w:b/>
          <w:bCs/>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Для детализирующего показателя по признаку № 2 установлено предельное минимальное значение показателя Хпнп пред. - 14 специалистов, и предельное максимальное значение показателя Хшах пред. - 15 специалистов.</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Если в предложении участника закупки содержится значение показателя, которое выше предельного максимального значения, баллы по детализирующему показателю присваиваются в размере, предусмотренном для соответствующего предельного максимального значения показателя (п. 2 раздела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извещения).</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В соответствии с пунктом 26 раздела V Положения № 2604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Применительно к критерию оценки «квалификация участников закупки» пунктом 20 пп. з) Положения № 2604 предусмотрено, что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в случае, если лучшим является наибольшее значение детализирующего показателя и установлены предельное минимальное значение детализирующего показателя и предельно максимальное значение детализирующего показателя, то критерий рассчитывается по соответствующей формуле, при этом, каких-либо требований, норм к промежуточным диапазонам между предельно минимальным значением детализирующего показателя и предельном максимальным значением Положение № 2604 не содержит.</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Исходя из вышеизложенного, установление значения «Единица» в знаменателе формулы для расчета критерия оценки «квалификация участников закупки» не противоречит Положению № 2604.</w:t>
      </w:r>
    </w:p>
    <w:p>
      <w:pPr>
        <w:pStyle w:val="Style15"/>
        <w:keepNext w:val="0"/>
        <w:keepLines w:val="0"/>
        <w:widowControl w:val="0"/>
        <w:shd w:val="clear" w:color="auto" w:fill="auto"/>
        <w:bidi w:val="0"/>
        <w:spacing w:before="0" w:after="0" w:line="240" w:lineRule="auto"/>
        <w:ind w:left="0" w:right="0" w:firstLine="720"/>
        <w:jc w:val="both"/>
      </w:pPr>
      <w:r>
        <w:rPr>
          <w:b/>
          <w:bCs/>
          <w:spacing w:val="0"/>
          <w:w w:val="100"/>
          <w:position w:val="0"/>
          <w:u w:val="single"/>
          <w:shd w:val="clear" w:color="auto" w:fill="auto"/>
          <w:lang w:val="ru-RU" w:eastAsia="ru-RU" w:bidi="ru-RU"/>
        </w:rPr>
        <w:t>По доводу 1.</w:t>
      </w:r>
      <w:r>
        <w:rPr>
          <w:b/>
          <w:bCs/>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По мнению Заявителя жалобы, включение в порядок оценки заявок по данному показателю условия о том, что к оценке отдельно принимаются сведения по основному месту работы, является неправомерным, поскольку ограничивает количество потенциальных участников закупки, у которых аудиторы могут работать по совместительству.</w:t>
      </w:r>
    </w:p>
    <w:p>
      <w:pPr>
        <w:pStyle w:val="Style15"/>
        <w:keepNext w:val="0"/>
        <w:keepLines w:val="0"/>
        <w:widowControl w:val="0"/>
        <w:shd w:val="clear" w:color="auto" w:fill="auto"/>
        <w:bidi w:val="0"/>
        <w:spacing w:before="0" w:after="0" w:line="240" w:lineRule="auto"/>
        <w:ind w:left="0" w:right="0" w:firstLine="720"/>
        <w:jc w:val="both"/>
      </w:pPr>
      <w:r>
        <w:rPr>
          <w:spacing w:val="0"/>
          <w:w w:val="100"/>
          <w:position w:val="0"/>
          <w:shd w:val="clear" w:color="auto" w:fill="auto"/>
          <w:lang w:val="ru-RU" w:eastAsia="ru-RU" w:bidi="ru-RU"/>
        </w:rPr>
        <w:t xml:space="preserve">Представитель Заказчика, возражая относительно заявленного довода, пояснил, что своими действиями никак не ограничил число потенциальных участников Конкурса. Заказчиком было использовано свое право на </w:t>
      </w:r>
      <w:r>
        <w:rPr>
          <w:color w:val="000000"/>
          <w:spacing w:val="0"/>
          <w:w w:val="100"/>
          <w:position w:val="0"/>
          <w:shd w:val="clear" w:color="auto" w:fill="auto"/>
          <w:lang w:val="ru-RU" w:eastAsia="ru-RU" w:bidi="ru-RU"/>
        </w:rPr>
        <w:t>определение преимущественных условий для своей организации и выбора уровня квалифицированных сотрудников путем включения второго признака по наличию сотрудников аудиторской компании по основному мету работы. Наличие у исполнителя работников-аудиторов именно «по основному месту работы» является квалифицирующим признаком включения аудиторской организации в специальные реестры и дополнительным показателем наличия у исполнителя услуг кадров необходимой квалификации.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Заказчика,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pPr>
        <w:pStyle w:val="Style15"/>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Исходя из правовой позиции Президиума Высшего Арбитражного Суда Российской Федерации, отраженной в Постановлениях от 28.12.2010 № 11017/10, от 29.01.2013 № 11604/12,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в соответствии с частью 1 статьи 282 Трудового кодекса РФ (далее - ТК РФ) 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282 ТК РФ работа по совместительству может выполняться работником как по месту его основной работы, так и у других работодателей.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части 4 статьи 282 ТК РФ в трудовом договоре обязательно указание на то, что работа является совместительством.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 по желанию работника (часть 5 статьи 66 ТК РФ).</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возражения от МП «ЧРКХ», проанализировав положения действующего законодательства, Комиссия Чукотского УФАС России пришла к выводу о том, что требование о принятии к оценке дополнительно специалистов, находящихся исключительно в штате участника закупки в качестве основного места работы, является ненадлежащим, поскольку вышеуказанное требование исключает возможность представить информацию о специалистах, оказывающих аудиторские услуги на основании договоров гражданско-правового характера либо по совместительству.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Само по себе оформление взаимоотношений работника и организации посредством заключения договора гражданско-правового характера либо путем </w:t>
      </w:r>
      <w:r>
        <w:rPr>
          <w:spacing w:val="0"/>
          <w:w w:val="100"/>
          <w:position w:val="0"/>
          <w:shd w:val="clear" w:color="auto" w:fill="auto"/>
          <w:lang w:val="ru-RU" w:eastAsia="ru-RU" w:bidi="ru-RU"/>
        </w:rPr>
        <w:t xml:space="preserve">оформления работника по совместительству (внешнего/внутреннего) еще </w:t>
      </w:r>
      <w:r>
        <w:rPr>
          <w:b/>
          <w:bCs/>
          <w:spacing w:val="0"/>
          <w:w w:val="100"/>
          <w:position w:val="0"/>
          <w:shd w:val="clear" w:color="auto" w:fill="auto"/>
          <w:lang w:val="ru-RU" w:eastAsia="ru-RU" w:bidi="ru-RU"/>
        </w:rPr>
        <w:t xml:space="preserve">не свидетельствует о меньшей квалификации такого работника </w:t>
      </w:r>
      <w:r>
        <w:rPr>
          <w:spacing w:val="0"/>
          <w:w w:val="100"/>
          <w:position w:val="0"/>
          <w:shd w:val="clear" w:color="auto" w:fill="auto"/>
          <w:lang w:val="ru-RU" w:eastAsia="ru-RU" w:bidi="ru-RU"/>
        </w:rPr>
        <w:t>и никоим образом не влияет на характер исполнения обязательств по контракту, в связи с чем подобное ограничение является необоснованным, что нарушает часть 8 статьи 32 Закона о контрактной системе и образует признаки события административного правонарушения, предусмотренного частью 4 статьи 7.30 КоАП РФ.</w:t>
      </w:r>
    </w:p>
    <w:p>
      <w:pPr>
        <w:pStyle w:val="Style15"/>
        <w:keepNext w:val="0"/>
        <w:keepLines w:val="0"/>
        <w:widowControl w:val="0"/>
        <w:shd w:val="clear" w:color="auto" w:fill="auto"/>
        <w:bidi w:val="0"/>
        <w:spacing w:before="0" w:after="320" w:line="240" w:lineRule="auto"/>
        <w:ind w:left="0" w:right="0" w:firstLine="720"/>
        <w:jc w:val="both"/>
      </w:pPr>
      <w:r>
        <w:rPr>
          <w:spacing w:val="0"/>
          <w:w w:val="100"/>
          <w:position w:val="0"/>
          <w:shd w:val="clear" w:color="auto" w:fill="auto"/>
          <w:lang w:val="ru-RU" w:eastAsia="ru-RU" w:bidi="ru-RU"/>
        </w:rPr>
        <w:t>На основании вышеизложенного, изучив материалы закупки, руководствуясь статьей 99 и статьей 106 Федерального закона № 44-ФЗ от 05.04.2013 «О контрактной системе в сфере закупок товаров, работ, услуг для обеспечения государственных и муниципальных нужд», руководствуясь административным регламентом по рассмотрению жалоб, утвержденным приказом Федеральной антимонопольной службы России от 25 мая 2012 г. № 339, комиссия Чукотского УФАС России,</w:t>
      </w:r>
    </w:p>
    <w:p>
      <w:pPr>
        <w:pStyle w:val="Style11"/>
        <w:keepNext/>
        <w:keepLines/>
        <w:widowControl w:val="0"/>
        <w:shd w:val="clear" w:color="auto" w:fill="auto"/>
        <w:bidi w:val="0"/>
        <w:spacing w:before="0" w:after="320" w:line="240" w:lineRule="auto"/>
        <w:ind w:left="0" w:right="0" w:firstLine="0"/>
        <w:jc w:val="center"/>
      </w:pPr>
      <w:bookmarkStart w:id="11" w:name="bookmark11"/>
      <w:r>
        <w:rPr>
          <w:color w:val="000000"/>
          <w:spacing w:val="0"/>
          <w:w w:val="100"/>
          <w:position w:val="0"/>
          <w:shd w:val="clear" w:color="auto" w:fill="auto"/>
          <w:lang w:val="ru-RU" w:eastAsia="ru-RU" w:bidi="ru-RU"/>
        </w:rPr>
        <w:t>РЕШИЛА:</w:t>
      </w:r>
      <w:bookmarkEnd w:id="11"/>
    </w:p>
    <w:p>
      <w:pPr>
        <w:pStyle w:val="Style15"/>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spacing w:val="0"/>
          <w:w w:val="100"/>
          <w:position w:val="0"/>
          <w:shd w:val="clear" w:color="auto" w:fill="auto"/>
          <w:lang w:val="ru-RU" w:eastAsia="ru-RU" w:bidi="ru-RU"/>
        </w:rPr>
        <w:t xml:space="preserve">Признать жалобу ОБЩЕСТВА С ОГРАНИЧЕННОЙ ОТВЕТСТВЕННОСТЬЮ «ГЛОБАЛС АУДИТ», ИНН / КПП: 6652022791 / 667801001 на действия заказчика - ГОСУДАРСТВЕННОЕ ПРЕДПРИЯТИЕ ЧУКОТСКОГО АВТОНОМНОГО ОКРУГА «ЧУКОТКОММУНХОЗ», ИНН / КПП: 8700000466 / 870901001, при проведении открытого конкурса в электронной форме на ««Оказание услуг по проведению обязательного ежегодного аудита бухгалтерской (финансовой) отчётности ГП ЧАО «Чукоткоммунхоз» за 2023-2025 гг.» извещение № 0588200001024000001, ИКЗ № 242870000046687090100100010016920000, </w:t>
      </w:r>
      <w:r>
        <w:rPr>
          <w:b/>
          <w:bCs/>
          <w:spacing w:val="0"/>
          <w:w w:val="100"/>
          <w:position w:val="0"/>
          <w:shd w:val="clear" w:color="auto" w:fill="auto"/>
          <w:lang w:val="ru-RU" w:eastAsia="ru-RU" w:bidi="ru-RU"/>
        </w:rPr>
        <w:t>обоснованной.</w:t>
      </w:r>
    </w:p>
    <w:p>
      <w:pPr>
        <w:pStyle w:val="Style15"/>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spacing w:val="0"/>
          <w:w w:val="100"/>
          <w:position w:val="0"/>
          <w:shd w:val="clear" w:color="auto" w:fill="auto"/>
          <w:lang w:val="ru-RU" w:eastAsia="ru-RU" w:bidi="ru-RU"/>
        </w:rPr>
        <w:t>Признать в действиях Заказчика нарушение части 8 статьи 32 Закона о контрактной системе.</w:t>
      </w:r>
    </w:p>
    <w:p>
      <w:pPr>
        <w:pStyle w:val="Style15"/>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spacing w:val="0"/>
          <w:w w:val="100"/>
          <w:position w:val="0"/>
          <w:shd w:val="clear" w:color="auto" w:fill="auto"/>
          <w:lang w:val="ru-RU" w:eastAsia="ru-RU" w:bidi="ru-RU"/>
        </w:rPr>
        <w:t>Заказчику в лице Государственного предприятия Чукотского автономного округа «ЧУКОТКОММУНХОЗ», закупочной комиссии, оператору электронной торговой площадки выдать предписание об устранении нарушений законодательства о контрактной системе.</w:t>
      </w:r>
    </w:p>
    <w:p>
      <w:pPr>
        <w:pStyle w:val="Style15"/>
        <w:keepNext w:val="0"/>
        <w:keepLines w:val="0"/>
        <w:widowControl w:val="0"/>
        <w:numPr>
          <w:ilvl w:val="0"/>
          <w:numId w:val="13"/>
        </w:numPr>
        <w:shd w:val="clear" w:color="auto" w:fill="auto"/>
        <w:tabs>
          <w:tab w:pos="1426" w:val="left"/>
        </w:tabs>
        <w:bidi w:val="0"/>
        <w:spacing w:before="0" w:after="640" w:line="240" w:lineRule="auto"/>
        <w:ind w:left="0" w:right="0" w:firstLine="720"/>
        <w:jc w:val="both"/>
      </w:pPr>
      <w:r>
        <w:rPr>
          <w:spacing w:val="0"/>
          <w:w w:val="100"/>
          <w:position w:val="0"/>
          <w:shd w:val="clear" w:color="auto" w:fill="auto"/>
          <w:lang w:val="ru-RU" w:eastAsia="ru-RU" w:bidi="ru-RU"/>
        </w:rPr>
        <w:t>Передать материалы дела уполномоченному должностному лицу Чукотского УФАС России для рассмотрения вопроса о возбуждении дела об административном правонарушении по части 4 статьи 7.30 КоАП РФ.</w:t>
      </w:r>
    </w:p>
    <w:p>
      <w:pPr>
        <w:pStyle w:val="Style15"/>
        <w:keepNext w:val="0"/>
        <w:keepLines w:val="0"/>
        <w:widowControl w:val="0"/>
        <w:shd w:val="clear" w:color="auto" w:fill="auto"/>
        <w:tabs>
          <w:tab w:pos="7754" w:val="left"/>
        </w:tabs>
        <w:bidi w:val="0"/>
        <w:spacing w:before="0" w:after="320" w:line="240" w:lineRule="auto"/>
        <w:ind w:left="0" w:right="0" w:firstLine="720"/>
        <w:jc w:val="both"/>
      </w:pPr>
      <w:r>
        <w:rPr>
          <w:color w:val="000000"/>
          <w:spacing w:val="0"/>
          <w:w w:val="100"/>
          <w:position w:val="0"/>
          <w:shd w:val="clear" w:color="auto" w:fill="auto"/>
          <w:lang w:val="ru-RU" w:eastAsia="ru-RU" w:bidi="ru-RU"/>
        </w:rPr>
        <w:t>Председатель Комиссии</w:t>
        <w:tab/>
        <w:t>Омаев.</w:t>
      </w:r>
    </w:p>
    <w:p>
      <w:pPr>
        <w:pStyle w:val="Style15"/>
        <w:keepNext w:val="0"/>
        <w:keepLines w:val="0"/>
        <w:widowControl w:val="0"/>
        <w:shd w:val="clear" w:color="auto" w:fill="auto"/>
        <w:tabs>
          <w:tab w:pos="5422" w:val="left"/>
        </w:tabs>
        <w:bidi w:val="0"/>
        <w:spacing w:before="0" w:after="320" w:line="240" w:lineRule="auto"/>
        <w:ind w:left="0" w:right="0" w:firstLine="0"/>
        <w:jc w:val="center"/>
      </w:pPr>
      <w:r>
        <w:rPr>
          <w:spacing w:val="0"/>
          <w:w w:val="100"/>
          <w:position w:val="0"/>
          <w:shd w:val="clear" w:color="auto" w:fill="auto"/>
          <w:lang w:val="ru-RU" w:eastAsia="ru-RU" w:bidi="ru-RU"/>
        </w:rPr>
        <w:t xml:space="preserve">Члены </w:t>
      </w:r>
      <w:r>
        <w:rPr>
          <w:color w:val="000000"/>
          <w:spacing w:val="0"/>
          <w:w w:val="100"/>
          <w:position w:val="0"/>
          <w:shd w:val="clear" w:color="auto" w:fill="auto"/>
          <w:lang w:val="ru-RU" w:eastAsia="ru-RU" w:bidi="ru-RU"/>
        </w:rPr>
        <w:t>Комиссии</w:t>
        <w:tab/>
        <w:t xml:space="preserve"> </w:t>
      </w:r>
      <w:r>
        <w:rPr>
          <w:spacing w:val="0"/>
          <w:w w:val="100"/>
          <w:position w:val="0"/>
          <w:shd w:val="clear" w:color="auto" w:fill="auto"/>
          <w:lang w:val="ru-RU" w:eastAsia="ru-RU" w:bidi="ru-RU"/>
        </w:rPr>
        <w:t>А.Э^Дунакаев.</w:t>
      </w:r>
    </w:p>
    <w:p>
      <w:pPr>
        <w:pStyle w:val="Style15"/>
        <w:keepNext w:val="0"/>
        <w:keepLines w:val="0"/>
        <w:widowControl w:val="0"/>
        <w:shd w:val="clear" w:color="auto" w:fill="auto"/>
        <w:bidi w:val="0"/>
        <w:spacing w:before="0" w:after="320" w:line="240" w:lineRule="auto"/>
        <w:ind w:left="0" w:right="220" w:firstLine="0"/>
        <w:jc w:val="right"/>
      </w:pPr>
      <w:r>
        <w:rPr>
          <w:color w:val="000000"/>
          <w:spacing w:val="0"/>
          <w:w w:val="100"/>
          <w:position w:val="0"/>
          <w:shd w:val="clear" w:color="auto" w:fill="auto"/>
          <w:lang w:val="ru-RU" w:eastAsia="ru-RU" w:bidi="ru-RU"/>
        </w:rPr>
        <w:t>Полковникова.</w:t>
      </w:r>
    </w:p>
    <w:p>
      <w:pPr>
        <w:pStyle w:val="Style8"/>
        <w:keepNext w:val="0"/>
        <w:keepLines w:val="0"/>
        <w:widowControl w:val="0"/>
        <w:shd w:val="clear" w:color="auto" w:fill="auto"/>
        <w:bidi w:val="0"/>
        <w:spacing w:before="0" w:line="240" w:lineRule="auto"/>
        <w:ind w:left="0" w:right="0" w:firstLine="720"/>
        <w:jc w:val="both"/>
        <w:rPr>
          <w:sz w:val="24"/>
          <w:szCs w:val="24"/>
        </w:rPr>
      </w:pPr>
      <w:r>
        <w:rPr>
          <w:i/>
          <w:iCs/>
          <w:spacing w:val="0"/>
          <w:w w:val="100"/>
          <w:position w:val="0"/>
          <w:sz w:val="24"/>
          <w:szCs w:val="24"/>
          <w:shd w:val="clear" w:color="auto" w:fill="auto"/>
          <w:lang w:val="ru-RU" w:eastAsia="ru-RU" w:bidi="ru-RU"/>
        </w:rPr>
        <w:t>Решение может быть обжаловано в течение трёх месяцев со дня его принятия в арбитражный суд.</w:t>
      </w:r>
    </w:p>
    <w:sectPr>
      <w:headerReference w:type="default" r:id="rId7"/>
      <w:headerReference w:type="first" r:id="rId8"/>
      <w:footnotePr>
        <w:pos w:val="pageBottom"/>
        <w:numFmt w:val="decimal"/>
        <w:numRestart w:val="continuous"/>
      </w:footnotePr>
      <w:pgSz w:w="11900" w:h="16840"/>
      <w:pgMar w:top="936" w:right="937" w:bottom="1005" w:left="1218"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3726815</wp:posOffset>
              </wp:positionH>
              <wp:positionV relativeFrom="page">
                <wp:posOffset>427355</wp:posOffset>
              </wp:positionV>
              <wp:extent cx="114300" cy="100330"/>
              <wp:wrapNone/>
              <wp:docPr id="12" name="Shape 12"/>
              <a:graphic xmlns:a="http://schemas.openxmlformats.org/drawingml/2006/main">
                <a:graphicData uri="http://schemas.microsoft.com/office/word/2010/wordprocessingShape">
                  <wps:wsp>
                    <wps:cNvSpPr txBox="1"/>
                    <wps:spPr>
                      <a:xfrm>
                        <a:ext cx="114300" cy="10033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293.44999999999999pt;margin-top:33.649999999999999pt;width:9.pt;height:7.90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151515"/>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151515"/>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151515"/>
        <w:spacing w:val="0"/>
        <w:w w:val="100"/>
        <w:position w:val="0"/>
        <w:sz w:val="28"/>
        <w:szCs w:val="28"/>
        <w:u w:val="none"/>
        <w:shd w:val="clear" w:color="auto" w:fill="auto"/>
        <w:lang w:val="ru-RU" w:eastAsia="ru-RU" w:bidi="ru-RU"/>
      </w:rPr>
    </w:lvl>
  </w:abstractNum>
  <w:abstractNum w:abstractNumId="6">
    <w:multiLevelType w:val="multilevel"/>
    <w:lvl w:ilvl="0">
      <w:start w:val="4"/>
      <w:numFmt w:val="russianLower"/>
      <w:lvlText w:val="%1)"/>
      <w:rPr>
        <w:rFonts w:ascii="Times New Roman" w:eastAsia="Times New Roman" w:hAnsi="Times New Roman" w:cs="Times New Roman"/>
        <w:b w:val="0"/>
        <w:bCs w:val="0"/>
        <w:i w:val="0"/>
        <w:iCs w:val="0"/>
        <w:smallCaps w:val="0"/>
        <w:strike w:val="0"/>
        <w:color w:val="151515"/>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151515"/>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313132"/>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151515"/>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151515"/>
      <w:sz w:val="19"/>
      <w:szCs w:val="19"/>
      <w:u w:val="none"/>
    </w:rPr>
  </w:style>
  <w:style w:type="character" w:customStyle="1" w:styleId="CharStyle6">
    <w:name w:val="Заголовок №1_"/>
    <w:basedOn w:val="DefaultParagraphFont"/>
    <w:link w:val="Style5"/>
    <w:rPr>
      <w:rFonts w:ascii="Arial" w:eastAsia="Arial" w:hAnsi="Arial" w:cs="Arial"/>
      <w:b w:val="0"/>
      <w:bCs w:val="0"/>
      <w:i w:val="0"/>
      <w:iCs w:val="0"/>
      <w:smallCaps w:val="0"/>
      <w:strike w:val="0"/>
      <w:color w:val="313132"/>
      <w:sz w:val="36"/>
      <w:szCs w:val="36"/>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151515"/>
      <w:sz w:val="22"/>
      <w:szCs w:val="22"/>
      <w:u w:val="none"/>
    </w:rPr>
  </w:style>
  <w:style w:type="character" w:customStyle="1" w:styleId="CharStyle12">
    <w:name w:val="Заголовок №2_"/>
    <w:basedOn w:val="DefaultParagraphFont"/>
    <w:link w:val="Style11"/>
    <w:rPr>
      <w:rFonts w:ascii="Times New Roman" w:eastAsia="Times New Roman" w:hAnsi="Times New Roman" w:cs="Times New Roman"/>
      <w:b/>
      <w:bCs/>
      <w:i w:val="0"/>
      <w:iCs w:val="0"/>
      <w:smallCaps w:val="0"/>
      <w:strike w:val="0"/>
      <w:color w:val="151515"/>
      <w:sz w:val="28"/>
      <w:szCs w:val="2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color w:val="151515"/>
      <w:sz w:val="28"/>
      <w:szCs w:val="28"/>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9">
    <w:name w:val="Основной текст (4)_"/>
    <w:basedOn w:val="DefaultParagraphFont"/>
    <w:link w:val="Style28"/>
    <w:rPr>
      <w:rFonts w:ascii="Arial" w:eastAsia="Arial" w:hAnsi="Arial" w:cs="Arial"/>
      <w:b/>
      <w:bCs/>
      <w:i w:val="0"/>
      <w:iCs w:val="0"/>
      <w:smallCaps w:val="0"/>
      <w:strike w:val="0"/>
      <w:color w:val="525152"/>
      <w:sz w:val="14"/>
      <w:szCs w:val="14"/>
      <w:u w:val="none"/>
    </w:rPr>
  </w:style>
  <w:style w:type="paragraph" w:customStyle="1" w:styleId="Style2">
    <w:name w:val="Основной текст (2)"/>
    <w:basedOn w:val="Normal"/>
    <w:link w:val="CharStyle3"/>
    <w:pPr>
      <w:widowControl w:val="0"/>
      <w:shd w:val="clear" w:color="auto" w:fill="auto"/>
      <w:spacing w:line="252" w:lineRule="auto"/>
      <w:ind w:firstLine="700"/>
    </w:pPr>
    <w:rPr>
      <w:rFonts w:ascii="Times New Roman" w:eastAsia="Times New Roman" w:hAnsi="Times New Roman" w:cs="Times New Roman"/>
      <w:b w:val="0"/>
      <w:bCs w:val="0"/>
      <w:i w:val="0"/>
      <w:iCs w:val="0"/>
      <w:smallCaps w:val="0"/>
      <w:strike w:val="0"/>
      <w:color w:val="151515"/>
      <w:sz w:val="19"/>
      <w:szCs w:val="19"/>
      <w:u w:val="none"/>
    </w:rPr>
  </w:style>
  <w:style w:type="paragraph" w:customStyle="1" w:styleId="Style5">
    <w:name w:val="Заголовок №1"/>
    <w:basedOn w:val="Normal"/>
    <w:link w:val="CharStyle6"/>
    <w:pPr>
      <w:widowControl w:val="0"/>
      <w:shd w:val="clear" w:color="auto" w:fill="auto"/>
      <w:outlineLvl w:val="0"/>
    </w:pPr>
    <w:rPr>
      <w:rFonts w:ascii="Arial" w:eastAsia="Arial" w:hAnsi="Arial" w:cs="Arial"/>
      <w:b w:val="0"/>
      <w:bCs w:val="0"/>
      <w:i w:val="0"/>
      <w:iCs w:val="0"/>
      <w:smallCaps w:val="0"/>
      <w:strike w:val="0"/>
      <w:color w:val="313132"/>
      <w:sz w:val="36"/>
      <w:szCs w:val="36"/>
      <w:u w:val="none"/>
    </w:rPr>
  </w:style>
  <w:style w:type="paragraph" w:customStyle="1" w:styleId="Style8">
    <w:name w:val="Основной текст (3)"/>
    <w:basedOn w:val="Normal"/>
    <w:link w:val="CharStyle9"/>
    <w:pPr>
      <w:widowControl w:val="0"/>
      <w:shd w:val="clear" w:color="auto" w:fill="auto"/>
      <w:spacing w:after="320"/>
      <w:ind w:firstLine="360"/>
    </w:pPr>
    <w:rPr>
      <w:rFonts w:ascii="Times New Roman" w:eastAsia="Times New Roman" w:hAnsi="Times New Roman" w:cs="Times New Roman"/>
      <w:b w:val="0"/>
      <w:bCs w:val="0"/>
      <w:i w:val="0"/>
      <w:iCs w:val="0"/>
      <w:smallCaps w:val="0"/>
      <w:strike w:val="0"/>
      <w:color w:val="151515"/>
      <w:sz w:val="22"/>
      <w:szCs w:val="22"/>
      <w:u w:val="none"/>
    </w:rPr>
  </w:style>
  <w:style w:type="paragraph" w:customStyle="1" w:styleId="Style11">
    <w:name w:val="Заголовок №2"/>
    <w:basedOn w:val="Normal"/>
    <w:link w:val="CharStyle12"/>
    <w:pPr>
      <w:widowControl w:val="0"/>
      <w:shd w:val="clear" w:color="auto" w:fill="auto"/>
      <w:spacing w:after="160"/>
      <w:jc w:val="center"/>
      <w:outlineLvl w:val="1"/>
    </w:pPr>
    <w:rPr>
      <w:rFonts w:ascii="Times New Roman" w:eastAsia="Times New Roman" w:hAnsi="Times New Roman" w:cs="Times New Roman"/>
      <w:b/>
      <w:bCs/>
      <w:i w:val="0"/>
      <w:iCs w:val="0"/>
      <w:smallCaps w:val="0"/>
      <w:strike w:val="0"/>
      <w:color w:val="151515"/>
      <w:sz w:val="28"/>
      <w:szCs w:val="28"/>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color w:val="151515"/>
      <w:sz w:val="28"/>
      <w:szCs w:val="28"/>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8">
    <w:name w:val="Основной текст (4)"/>
    <w:basedOn w:val="Normal"/>
    <w:link w:val="CharStyle29"/>
    <w:pPr>
      <w:widowControl w:val="0"/>
      <w:shd w:val="clear" w:color="auto" w:fill="auto"/>
      <w:ind w:firstLine="500"/>
    </w:pPr>
    <w:rPr>
      <w:rFonts w:ascii="Arial" w:eastAsia="Arial" w:hAnsi="Arial" w:cs="Arial"/>
      <w:b/>
      <w:bCs/>
      <w:i w:val="0"/>
      <w:iCs w:val="0"/>
      <w:smallCaps w:val="0"/>
      <w:strike w:val="0"/>
      <w:color w:val="525152"/>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