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12700</wp:posOffset>
                </wp:positionV>
                <wp:extent cx="963295" cy="25019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АО «ЕЭТП»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25pt;margin-top:1.pt;width:75.850000000000009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АО «ЕЭТП»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7079" w:bottom="621" w:left="16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63500</wp:posOffset>
                </wp:positionV>
                <wp:extent cx="895985" cy="1524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5.65000000000001pt;margin-top:5.pt;width:70.549999999999997pt;height:12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2700" distR="12700" simplePos="0" relativeHeight="125829382" behindDoc="0" locked="0" layoutInCell="1" allowOverlap="1">
                <wp:simplePos x="0" y="0"/>
                <wp:positionH relativeFrom="page">
                  <wp:posOffset>1684020</wp:posOffset>
                </wp:positionH>
                <wp:positionV relativeFrom="paragraph">
                  <wp:posOffset>355600</wp:posOffset>
                </wp:positionV>
                <wp:extent cx="722630" cy="1524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32.59999999999999pt;margin-top:28.pt;width:56.899999999999999pt;height:12.pt;z-index:-125829371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621" w:left="39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«РМА»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12700</wp:posOffset>
                </wp:positionV>
                <wp:extent cx="1557655" cy="2927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9.25pt;margin-top:1.pt;width:122.65000000000001pt;height:23.05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88900" distL="114300" distR="114300" simplePos="0" relativeHeight="125829386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176530</wp:posOffset>
                </wp:positionV>
                <wp:extent cx="158178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17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гостеШста@тай.ги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20.25pt;margin-top:13.9pt;width:124.55pt;height:19.900000000000002pt;z-index:-125829367;mso-wrap-distance-left:9.pt;mso-wrap-distance-top:11.pt;mso-wrap-distance-right:9.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гостеШста@тай.ги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02.02.2024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4108/24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1938" w:bottom="621" w:left="1279" w:header="0" w:footer="3" w:gutter="0"/>
          <w:cols w:num="2" w:space="126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«СМТК» Москомспорта</w:t>
      </w:r>
    </w:p>
    <w:p>
      <w:pPr>
        <w:widowControl w:val="0"/>
        <w:spacing w:line="112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0" w:bottom="6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6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311150" cy="15240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pt;margin-top:1.pt;width:24.5pt;height:12.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1р8т1к@Лк8.то8.ги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ГБУ ДО МКСШОР «Юг»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уид@то88рог1.ги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077/06/106-1079/2024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6402070</wp:posOffset>
                </wp:positionH>
                <wp:positionV relativeFrom="paragraph">
                  <wp:posOffset>38100</wp:posOffset>
                </wp:positionV>
                <wp:extent cx="798830" cy="19812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04.10000000000002pt;margin-top:3.pt;width:62.899999999999999pt;height:15.6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30.01.2024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ДО МКСШОР «Юг»: О.Е. Трофименковой (по доверенности от 08.04.2023 №17),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«РМА», ГКУ «СМТК» Москомспорта,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«РМА» (далее — Заявитель) на действия ГБУ ДО МКСШОР «Юг» (далее — Заказчик) при проведении запроса котировок в электронной форме на право заключения государственного контракта на оказание услуг по обеспечению дежурств врачебной бригады скорой медицинской помощи во время проведения спортивных мероприятий для нужд ГБУ ДО МКСШОР «Юг» в 2024 году (Закупка № 0373200068624000008) (далее - запрос котировок) в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240" w:line="28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2024-4832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описании объекта закупки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 1 ст.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составе извещения о проведении закупочной процедуры неправомерно не конкретизированы виды работ, содержащиеся в составе лицензии на оказание услуг по медицинской деятельности, что вводит участников закупки в заблуждение.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«н»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 2 и 2.1 (при наличии таких требований) ст. 31 Закона о контрактной системе, если иное не предусмотрено Законом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66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ч.1 ст.31 Закона о контрактной системе при применении конкурентных способов, при осуществлении закупки у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2024-4832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единственного поставщика (подрядчика, исполнителя) в случаях, предусмотренных пунктами 4, 5, 18, 30, 42, 49, 54 и 59 ч. 1 ст. 93 Закона о контрактной системе,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п.46 ч.1 ст.12 Федерального закона от 04.05.2011 №99-ФЗ «О лицензировании отдельных видов деятельности» 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подлежит обязательному лицензированию.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к Постановлению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(далее — Постановление №852) определен перечень работ (услуг), составляющих медицинскую деятельность, в состав которого входит работы (услуги) по скорой медицинской помощи.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согласно извещению о проведении запрос котировок от 18.01.2024 установлено требование к участникам закупки в соответствии с п.1 ч.1 ст.31 Закона о контрактной системе: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«наличие действующей лицензии на осуществление медицинской деятельности с обязательным приложением по виду деятельности на оказание скорой медицинской помощи в соответствии с Постановлением Правительства РФ от 01.06.2021 № 852 «О лицензировании медицинской деятельности» и Федеральным законом от 04.05.2011 № 99 «О лицензировании отдельных видов деятельности»- осуществление деятельности по обороту наркотических средств, психотропных веществ и их прекурсоров, культивированию наркосодержащих растений с обязательным приложением по виду деятельности на хранение, перевозку, приобретение и использование наркотических средств и психотропных веществ, внесенных в список II и III перечня наркотических средств, психотропных веществ и их прекурсоров, подлежащих контролю в Российской Федерации в соответствии с Постановлением Правительства РФ от 22 июня 2022 года № 1007 «О лицензировании деятельности по обороту наркотических средств, психотропных веществ и их прекурсоров, культивированию наркосодержащих растений» и Федеральным законом от 04.05.2011 № 99 «О лицензировании отдельных видов деятельности»».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6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2024-4832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что, учитывая, что объектом закупки является оказание услуг по обеспечению дежурств врачебной бригады скорой медицинской помощи во время проведения спортивных мероприятий, следовательно, наличие у участников закупки лицензии на осуществление медицинской помощи является исчерпывающим условием для соответствия участников п.1 ч.1 ст.31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представитель Заказчика отмечает, что требования к участникам закупочной процедуры полностью соответствует положениям ст.31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положениями Приказа Министерства Здравоохранения Российской Федерации от 20 июня 2013 г. № 388Н «Об утверждении Порядка оказания скорой, в том числе скорой специализированной, медицинской помощи» (далее — Приказ №388Н), требование о соответствии которому установлено в технической части закупочной документации, Приложением №2 указанного приказа оговорено, что специализированные выездные бригады скорой медицинской помощи подразделяются на бригады: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анестезиологии-реанимации, в том числе педиатрические;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педиатрические; в) психиатрические;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экстренные консультативные;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авиамедицинские. Педиатрические бригады скорой медицинской помощи оказывают медицинскую помощь детям (лицам до 18 лет). Бригады анестезиологии-реанимации оказывают медицинскую помощь взрослым.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п.3 приказа Министерства здравоохранения РФ № 866н от 19.08.2021г. «Об утверждении классификатора работ (услуг), составляющих медицинскую деятельность» (далее — Приказ №866) при оказании скорой, в том числе скорой специализированной, медицинской помощи организуются и выполняются следующие работы (услуги):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анестезиологии и реаниматологии;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педиатрии;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реаниматологии.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медицинской помощи: скорая специализированная медицинская помощь;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условия оказания медицинской помощи: вне медицинской организации (в том числе выездными экстренными консультативными бригадами скорой медицинской помощи).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Приложению №4 к Приказу Министерства здравоохранения РФ от 23.10.2020г. №1144н (далее — Приказ №1144н), рекомендуемые штатные нормативы медицинской бригады, количеств выездных бригад скорой медицинской помощи, медицинских работников про проведение физкультурных мероприятий и спортивных соревнований, мероприятий по оценке выполнения нормативов испытаний (тестов) комплекса, на соревнованиях по футболу необходимо присутствие врача спортивной медицины и медицинской сестры. Что свидетельствует об осуществлении поставщиком лицензируемого вида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2024-4832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 по специализации «спортивная медицина» и «сестринское дело».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что, исходя из вышеуказанных правовых актов следует, Заказчику следовало установить требование к участникам закупки о наличии лицензии на осуществление медицинской деятельности: при оказании первичной доврачебной медико</w:t>
        <w:softHyphen/>
        <w:t>санитарной помощи в амбулаторных условиях по: сестринскому делу; при оказании первичной специализированной медико-санитарной помощи в амбулаторных условиях по: спортивной медицине; при оказании скорой специализированной медицинской помощи вне медицинской организации, в том числе выездными экстренными консультативными бригадами скорой медицинской помощи, по: анестезиологии и реаниматологии, реаниматологии, педиатрии.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лицензирование деятельности по обороту наркотических средств, психотропных веществ и их прекурсоров, культивированию наркосодержащих растений» осуществляется в соответствии с Постановлением Правительства РФ №1007 от 02.06.2022г. «О лицензировании деятельности по обороту наркотических средств, психотропных веществ и их прекурсоров, культивированию наркосодержащих растений» (вместе с «Положением о лицензировании деятельности по обороту наркотических средств, психотропных веществ и их прекурсоров, культивированию наркосодержащих растений»)» (далее — Постановление №1007).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Приказа Министерства здравоохранения Российской Федерации №1165н от 28.10.2020г. «Об утверждении требований к комплектации лекарственными препаратами и медицинскими изделиями укладок и наборов для оказания скорой медицинской помощи» в состав укладки для оказания скорой медицинской помощи должны входить препараты: фентанил, морфин, кетамин, диазепам.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Постановления Правительства Российской Федерации №681 от 30.06.1998г. «Об утверждении перечня наркотических средств, психотропных веществ и их прекурсов, подлежащих контролю в Российской Федерации» препараты фентанил, морфин, кетамин, диазепам являются наркотическими средства и психотропными веществами списка II, списка III.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перечню работ и услуг, составляющих деятельность по обороту нарктических средств, психотропных веществ и их прекурсоров, культированию наркосодержащих растений Приложения №1 Постановления №1007 перечисленные препараты списка II, списка III могут использовать лишь те организации, которые имеют лицензии по обороту наркотических средств, психотропных веществ и их прекурсов, культивированию наркосодержащих растений: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Хранение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0" w:val="left"/>
        </w:tabs>
        <w:bidi w:val="0"/>
        <w:spacing w:before="0" w:after="0" w:line="295" w:lineRule="auto"/>
        <w:ind w:left="0" w:right="0" w:firstLine="6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Перевозка наркотических средств и психотропных веществ, внесенных в список II перечня наркотических средств, психотропных веществ и их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2024-4832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Приобретение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Отпуск (за исключением отпуска физическим лицам)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 в медицинских целях;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Хранение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Перевозка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Приобретение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Отпуск (за исключением отпуска физическим лицам) наркотических средств и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федерации, в медицинских целях.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при проведении закупочной процедуры на оказание услуг бригады скорой помощи на массовые физкультурно-спортивные мероприятиях следует, что участником закупочной процедуры может являться лицо, обладающее лицензией по обороту наркотических средств, психотропных веществ и их прекурсов, культивированию наркосодержащих растений: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Хранение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Перевозка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5" w:val="left"/>
        </w:tabs>
        <w:bidi w:val="0"/>
        <w:spacing w:before="0" w:after="0" w:line="262" w:lineRule="auto"/>
        <w:ind w:left="0" w:right="0" w:firstLine="6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542" w:bottom="681" w:left="109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Приобретение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Федерации; - Отпуск (за исключением отпуска физическим лицам) наркотических средств и психотропных веществ, внесенных в список II перечня наркотических средств,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2024-4832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наркотических средств и психотропных веществ, внесенных в список II перечня наркотических средств, психотропных веществ и их прекурсоров, подлежащих контролю в Российской Федерации в медицинских целях;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Хранение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 - Перевозка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Приобретение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Отпуск (за исключением отпуска физическим лицам) наркотических средств и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психотропных веществ, внесенных в список III перечня наркотических средств, психотропных веществ и их прекурсоров, подлежащих контролю в Российской Федерации, в медицинских целях.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Резюмируя вышеизложенное, Комиссия Управления приходит к выводу, что Заказчику следует конкретизировать виды работ, которые должны содержаться в составе требуемой лицензии на оказание услуг по медицинской деятельности.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39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об обоснованности доводов жалобы и о нарушении Заказчиком положений п.1 ч.1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ч.1.4</w:t>
        <w:tab/>
        <w:t>ст.7.30 Кодекса Российской Федерации об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«РМА» на действия ГБУ ДО МКСШОР «Юг»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п.1 ч.1 ст.31, п.12 ч.1 ст.42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02" w:val="left"/>
        </w:tabs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18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9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26.pt;width:145.70000000000002pt;height:19.900000000000002pt;z-index:-125829361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9430" simplePos="0" relativeHeight="125829394" behindDoc="0" locked="0" layoutInCell="1" allowOverlap="1">
            <wp:simplePos x="0" y="0"/>
            <wp:positionH relativeFrom="page">
              <wp:posOffset>3003550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3463925</wp:posOffset>
                </wp:positionH>
                <wp:positionV relativeFrom="paragraph">
                  <wp:posOffset>805815</wp:posOffset>
                </wp:positionV>
                <wp:extent cx="127698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2.75pt;margin-top:63.450000000000003pt;width:100.5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2424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9.14999999999998pt;margin-top:38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2424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95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330200</wp:posOffset>
                </wp:positionV>
                <wp:extent cx="102997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7.05000000000001pt;margin-top:26.pt;width:81.100000000000009pt;height:19.900000000000002pt;z-index:-125829358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6868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00СА1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7306423В8С790А31806189СЭЕ338Е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3640" w:right="0" w:firstLine="0"/>
        <w:jc w:val="left"/>
      </w:pPr>
      <w:r>
        <w:drawing>
          <wp:anchor distT="0" distB="0" distL="114300" distR="1921510" simplePos="0" relativeHeight="125829397" behindDoc="0" locked="0" layoutInCell="1" allowOverlap="1">
            <wp:simplePos x="0" y="0"/>
            <wp:positionH relativeFrom="page">
              <wp:posOffset>3025140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9.14999999999998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О0СС5А1А1С303О775Е8423Е1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8" behindDoc="0" locked="0" layoutInCell="1" allowOverlap="1">
            <wp:simplePos x="0" y="0"/>
            <wp:positionH relativeFrom="page">
              <wp:posOffset>3003550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3463925</wp:posOffset>
                </wp:positionH>
                <wp:positionV relativeFrom="paragraph">
                  <wp:posOffset>466090</wp:posOffset>
                </wp:positionV>
                <wp:extent cx="127698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2.75pt;margin-top:36.700000000000003pt;width:100.5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151765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9.14999999999998pt;margin-top:11.95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08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4.70000000000005pt;width:50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458470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8.85000000000002pt;margin-top:36.1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4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  <w:ind w:left="3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