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71245" distR="1059815" simplePos="0" relativeHeight="125829378" behindDoc="0" locked="0" layoutInCell="1" allowOverlap="1">
            <wp:simplePos x="0" y="0"/>
            <wp:positionH relativeFrom="page">
              <wp:posOffset>1779905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822960</wp:posOffset>
                </wp:positionH>
                <wp:positionV relativeFrom="paragraph">
                  <wp:posOffset>622300</wp:posOffset>
                </wp:positionV>
                <wp:extent cx="2414270" cy="1831975"/>
                <wp:wrapSquare wrapText="right"/>
                <wp:docPr id="3" name="Shape 3"/>
                <a:graphic xmlns:a="http://schemas.openxmlformats.org/drawingml/2006/main">
                  <a:graphicData uri="http://schemas.microsoft.com/office/word/2010/wordprocessingShape">
                    <wps:wsp>
                      <wps:cNvSpPr txBox="1"/>
                      <wps:spPr>
                        <a:xfrm>
                          <a:ext cx="2414270" cy="183197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1376/24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799999999999997pt;margin-top:49.pt;width:190.09999999999999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1376/24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ФГБУК «ГАЦТК им. С.В. Образцова»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!епдег@рирре!.ги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ООО «Триумф»</w:t>
      </w:r>
    </w:p>
    <w:p>
      <w:pPr>
        <w:pStyle w:val="Style6"/>
        <w:keepNext w:val="0"/>
        <w:keepLines w:val="0"/>
        <w:widowControl w:val="0"/>
        <w:shd w:val="clear" w:color="auto" w:fill="auto"/>
        <w:bidi w:val="0"/>
        <w:spacing w:before="0" w:after="2380" w:line="240" w:lineRule="auto"/>
        <w:ind w:left="1140" w:right="0" w:firstLine="0"/>
        <w:jc w:val="both"/>
      </w:pPr>
      <w:r>
        <w:rPr>
          <w:color w:val="000000"/>
          <w:spacing w:val="0"/>
          <w:w w:val="100"/>
          <w:position w:val="0"/>
          <w:shd w:val="clear" w:color="auto" w:fill="auto"/>
          <w:lang w:val="ru-RU" w:eastAsia="ru-RU" w:bidi="ru-RU"/>
        </w:rPr>
        <w:t>1гшт1</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Ьи8те88@дтай.сот</w:t>
      </w:r>
    </w:p>
    <w:p>
      <w:pPr>
        <w:pStyle w:val="Style6"/>
        <w:keepNext w:val="0"/>
        <w:keepLines w:val="0"/>
        <w:widowControl w:val="0"/>
        <w:shd w:val="clear" w:color="auto" w:fill="auto"/>
        <w:bidi w:val="0"/>
        <w:spacing w:before="0" w:after="0" w:line="252"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52" w:lineRule="auto"/>
        <w:ind w:left="0" w:right="0" w:firstLine="0"/>
        <w:jc w:val="center"/>
      </w:pPr>
      <w:r>
        <w:rPr>
          <w:b/>
          <w:bCs/>
          <w:color w:val="000000"/>
          <w:spacing w:val="0"/>
          <w:w w:val="100"/>
          <w:position w:val="0"/>
          <w:shd w:val="clear" w:color="auto" w:fill="auto"/>
          <w:lang w:val="ru-RU" w:eastAsia="ru-RU" w:bidi="ru-RU"/>
        </w:rPr>
        <w:t>по делу №077/06/106-516/2024 о нарушении</w:t>
        <w:br/>
        <w:t>законодательства о контрактной системе</w:t>
        <w:br/>
        <w:t>12.01.2024</w:t>
        <w:tab/>
        <w:t>г. Москва</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 участии представителей: ООО «Триумф», ФГБУК «ГАЦТК им. С.В. Образцова»,</w:t>
      </w:r>
    </w:p>
    <w:p>
      <w:pPr>
        <w:pStyle w:val="Style6"/>
        <w:keepNext w:val="0"/>
        <w:keepLines w:val="0"/>
        <w:widowControl w:val="0"/>
        <w:shd w:val="clear" w:color="auto" w:fill="auto"/>
        <w:bidi w:val="0"/>
        <w:spacing w:before="0" w:after="920" w:line="252" w:lineRule="auto"/>
        <w:ind w:left="0" w:right="0" w:firstLine="700"/>
        <w:jc w:val="both"/>
      </w:pPr>
      <w:r>
        <w:rPr>
          <w:color w:val="000000"/>
          <w:spacing w:val="0"/>
          <w:w w:val="100"/>
          <w:position w:val="0"/>
          <w:shd w:val="clear" w:color="auto" w:fill="auto"/>
          <w:lang w:val="ru-RU" w:eastAsia="ru-RU" w:bidi="ru-RU"/>
        </w:rPr>
        <w:t>рассмотрев жалобу ООО «Триумф» (далее — Заявитель) на действия ФГБУК «ГАЦТК им. С.В. Образцова» (далее — Заказчик) при проведении электронного аукциона на право заключения государственного контракта на оказание услуг по комплексному эксплуатационно-техническому обслуживанию объектов ГАЦТК им. С.В. Образцова (Закупка № 0373100041523000005)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300" w:line="252"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в составе извещения Заказчиком неправомерно установлен запрет на допуск программного обеспечения, происходящего из иностранных государств, предусмотренный положениями Постановления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 то время как объектом закупки являются услуги по эксплуатационно-техническому обслуживанию зданий, сооружений Заказчика, при этом поставка товара, в том числе программного обеспечения в рамках контракта не предусмотрена, о чем также свидетельствует отсутствие требований к программному обеспечению в составе структурированной формы извещения.</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76"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 запрет, предусмотренный положениями Постановления №1236.</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П.2(1) Постановления №1236 установлено, что для целей применения п.2 Постановления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6"/>
        <w:keepNext w:val="0"/>
        <w:keepLines w:val="0"/>
        <w:widowControl w:val="0"/>
        <w:numPr>
          <w:ilvl w:val="0"/>
          <w:numId w:val="1"/>
        </w:numPr>
        <w:shd w:val="clear" w:color="auto" w:fill="auto"/>
        <w:tabs>
          <w:tab w:pos="102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6"/>
        <w:keepNext w:val="0"/>
        <w:keepLines w:val="0"/>
        <w:widowControl w:val="0"/>
        <w:numPr>
          <w:ilvl w:val="0"/>
          <w:numId w:val="1"/>
        </w:numPr>
        <w:shd w:val="clear" w:color="auto" w:fill="auto"/>
        <w:tabs>
          <w:tab w:pos="103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6"/>
        <w:keepNext w:val="0"/>
        <w:keepLines w:val="0"/>
        <w:widowControl w:val="0"/>
        <w:numPr>
          <w:ilvl w:val="0"/>
          <w:numId w:val="1"/>
        </w:numPr>
        <w:shd w:val="clear" w:color="auto" w:fill="auto"/>
        <w:tabs>
          <w:tab w:pos="102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6"/>
        <w:keepNext w:val="0"/>
        <w:keepLines w:val="0"/>
        <w:widowControl w:val="0"/>
        <w:numPr>
          <w:ilvl w:val="0"/>
          <w:numId w:val="1"/>
        </w:numPr>
        <w:shd w:val="clear" w:color="auto" w:fill="auto"/>
        <w:tabs>
          <w:tab w:pos="1009" w:val="left"/>
        </w:tabs>
        <w:bidi w:val="0"/>
        <w:spacing w:before="0" w:after="0" w:line="276"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заказчику прав на использование программного обеспечения или расширением ранее предоставленного объема прав.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осуществлению закупки, объектом закупки является оказание услуг по комплексному эксплуатационно-техническому обслуживанию объектов ГАЦТК им. С.В. Образцова, при этом структурированной форме извещения отсутствует указание на поставку товара, в том числе программного обеспечения, в частности отсутствуют описание характеристик такого программного обеспечения, подлежащие заполнению участниками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рамках услуг, подлежащих к исполнению в рамках заключаемого по результатам обжалуемой процедуры контракта, в том числе предусмотрено предоставление программного обеспечения «Платформа ОКДЕСК» (или эквивалент), при этом стоимость представления права пользования программным обеспечением включено в описание объекта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по мнению представителя Заказчика, в закупаемые услуги включается оказание услуг, связанных с сопровождением, технической поддержкой, обновлением программного обеспечения, ввиду чего Заказчиком установлен оспариваемый запрет.</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«7.6. В рамках комплексного эксплуатационно-технического</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облуживания услуги оказы-ваются на базе электронной системы учета и управления заявками ПЛАТФОРМА ОКДЕСК (или эквивалент), предоставляемой Исполнителем в течение 3 (Трёх) дней с даты начала оказания услуг»;</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«7.9. Цена Договора включает стоимость услуг, всех необходимых для</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их исполнения ма-териалов и инструментов, технических средств и приборов, оплаты труда сотрудников, а также платежей, предусмотренных законодательством Российской Федерации. Все применяемые при оказании услуг материалы и оборудование должны соответствовать государственным нормам и стандартам и иметь соответствующие сертификаты (в случае если товары подлежат обяза</w:t>
        <w:softHyphen/>
        <w:t>тельной сертификации в РФ). Стоимость выполнения заявок согласно приложению № 3 входит в стоимость обслуживания соответствующей системы. Стоимость программного обеспечения ОКДЕСК(или эквивалент) входит в стоимость услуг по Диспетчеризации и аварийному обслуживанию»;</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«8.4 Исполнитель обязан предоставить программное обеспечение</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ПЛАТФОРМА ОКДЕСК (или эквивалент) в течение трёх дней с даты заключения Договора, которое позволяет:</w:t>
      </w:r>
    </w:p>
    <w:p>
      <w:pPr>
        <w:pStyle w:val="Style6"/>
        <w:keepNext w:val="0"/>
        <w:keepLines w:val="0"/>
        <w:widowControl w:val="0"/>
        <w:numPr>
          <w:ilvl w:val="0"/>
          <w:numId w:val="3"/>
        </w:numPr>
        <w:shd w:val="clear" w:color="auto" w:fill="auto"/>
        <w:tabs>
          <w:tab w:pos="1429" w:val="left"/>
        </w:tabs>
        <w:bidi w:val="0"/>
        <w:spacing w:before="0" w:after="40"/>
        <w:ind w:left="0" w:right="0" w:firstLine="700"/>
        <w:jc w:val="both"/>
      </w:pPr>
      <w:r>
        <w:rPr>
          <w:color w:val="000000"/>
          <w:spacing w:val="0"/>
          <w:w w:val="100"/>
          <w:position w:val="0"/>
          <w:shd w:val="clear" w:color="auto" w:fill="auto"/>
          <w:lang w:val="ru-RU" w:eastAsia="ru-RU" w:bidi="ru-RU"/>
        </w:rPr>
        <w:t>регистрироваться неограниченному количеству сотрудников,</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подавать заявки, контролировать в онлайн режиме процесс выполнения заявок и их закрытие,</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к выполненным заявкам прикреплять пакет документов (дефектная ведомость, акт выполненных работ и др.) и фото начала работ, процесса их выполнения и результата;</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формировать отчетность по работе на объектах клиента и регистрировать пожелания/претензии клиента;</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вести электронную паспортизацию оборудования инженерных систем объекта и адресное архивирование данных о выполненных заявках и регламентных работах;</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регулярно оценивать качество выполненных работ путем проставления оценок по исполненным заявкам».</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Комиссия Управления отмечает, что из описания объекта закупки не следует, что в рамках обжалуемой закупки осуществляются услуги, связанные с сопровождением, технической поддержкой, обновлением программного обеспечения, так как необходимое программное обеспечение представляется исполнителем контракта, что, по своей сути, не является сопровождением,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технической поддержкой, обновлением программного обеспечения, имеющегося у Заказчика, а является поставкой программного обеспечения, осуществляемой в рамках оказания услуг.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исходя и описания объекта закупки, в рамках контракта предусмотрена поставка программного обеспечения, в связи с чем в данное программное обеспечение, является программным обеспечением в отношении которого устанавливается запрет, предусмотренный Постановлением №1236.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5"/>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6"/>
        <w:keepNext w:val="0"/>
        <w:keepLines w:val="0"/>
        <w:widowControl w:val="0"/>
        <w:numPr>
          <w:ilvl w:val="0"/>
          <w:numId w:val="5"/>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6"/>
        <w:keepNext w:val="0"/>
        <w:keepLines w:val="0"/>
        <w:widowControl w:val="0"/>
        <w:numPr>
          <w:ilvl w:val="0"/>
          <w:numId w:val="5"/>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5"/>
        </w:numPr>
        <w:shd w:val="clear" w:color="auto" w:fill="auto"/>
        <w:tabs>
          <w:tab w:pos="10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5"/>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66"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п.1 ч.2 ст.43 Закона о контрактной системе при формировании предложения участника закупки в отношении объекта закупки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пп.«а» п.2 ч.1 ст.43 Закона о контрактной системе, может не включаться в заявку на участие в закупке в случае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7"/>
        </w:numPr>
        <w:shd w:val="clear" w:color="auto" w:fill="auto"/>
        <w:tabs>
          <w:tab w:pos="1398" w:val="left"/>
        </w:tabs>
        <w:bidi w:val="0"/>
        <w:spacing w:before="0" w:after="0"/>
        <w:ind w:left="0" w:right="0" w:firstLine="700"/>
        <w:jc w:val="both"/>
      </w:pPr>
      <w:r>
        <w:rPr>
          <w:color w:val="000000"/>
          <w:spacing w:val="0"/>
          <w:w w:val="100"/>
          <w:position w:val="0"/>
          <w:shd w:val="clear" w:color="auto" w:fill="auto"/>
          <w:lang w:val="ru-RU" w:eastAsia="ru-RU" w:bidi="ru-RU"/>
        </w:rPr>
        <w:t>извещении об осуществлении закупки;</w:t>
      </w:r>
    </w:p>
    <w:p>
      <w:pPr>
        <w:pStyle w:val="Style6"/>
        <w:keepNext w:val="0"/>
        <w:keepLines w:val="0"/>
        <w:widowControl w:val="0"/>
        <w:numPr>
          <w:ilvl w:val="0"/>
          <w:numId w:val="7"/>
        </w:numPr>
        <w:shd w:val="clear" w:color="auto" w:fill="auto"/>
        <w:tabs>
          <w:tab w:pos="1398" w:val="left"/>
        </w:tabs>
        <w:bidi w:val="0"/>
        <w:spacing w:before="0" w:after="0"/>
        <w:ind w:left="0" w:right="0" w:firstLine="70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6"/>
        <w:keepNext w:val="0"/>
        <w:keepLines w:val="0"/>
        <w:widowControl w:val="0"/>
        <w:numPr>
          <w:ilvl w:val="0"/>
          <w:numId w:val="7"/>
        </w:numPr>
        <w:shd w:val="clear" w:color="auto" w:fill="auto"/>
        <w:tabs>
          <w:tab w:pos="1398" w:val="left"/>
          <w:tab w:pos="1434" w:val="left"/>
          <w:tab w:pos="7228" w:val="left"/>
        </w:tabs>
        <w:bidi w:val="0"/>
        <w:spacing w:before="0" w:after="0"/>
        <w:ind w:left="0" w:right="0" w:firstLine="700"/>
        <w:jc w:val="both"/>
      </w:pPr>
      <w:r>
        <w:rPr>
          <w:color w:val="000000"/>
          <w:spacing w:val="0"/>
          <w:w w:val="100"/>
          <w:position w:val="0"/>
          <w:shd w:val="clear" w:color="auto" w:fill="auto"/>
          <w:lang w:val="ru-RU" w:eastAsia="ru-RU" w:bidi="ru-RU"/>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предусмотрена документация о закупке);</w:t>
      </w:r>
    </w:p>
    <w:p>
      <w:pPr>
        <w:pStyle w:val="Style6"/>
        <w:keepNext w:val="0"/>
        <w:keepLines w:val="0"/>
        <w:widowControl w:val="0"/>
        <w:numPr>
          <w:ilvl w:val="0"/>
          <w:numId w:val="7"/>
        </w:numPr>
        <w:shd w:val="clear" w:color="auto" w:fill="auto"/>
        <w:tabs>
          <w:tab w:pos="1398" w:val="left"/>
          <w:tab w:pos="1434" w:val="left"/>
        </w:tabs>
        <w:bidi w:val="0"/>
        <w:spacing w:before="0" w:after="40"/>
        <w:ind w:left="0" w:right="0" w:firstLine="700"/>
        <w:jc w:val="both"/>
      </w:pPr>
      <w:r>
        <w:rPr>
          <w:color w:val="000000"/>
          <w:spacing w:val="0"/>
          <w:w w:val="100"/>
          <w:position w:val="0"/>
          <w:shd w:val="clear" w:color="auto" w:fill="auto"/>
          <w:lang w:val="ru-RU" w:eastAsia="ru-RU" w:bidi="ru-RU"/>
        </w:rPr>
        <w:t>контракте;</w:t>
      </w:r>
    </w:p>
    <w:p>
      <w:pPr>
        <w:pStyle w:val="Style6"/>
        <w:keepNext w:val="0"/>
        <w:keepLines w:val="0"/>
        <w:widowControl w:val="0"/>
        <w:numPr>
          <w:ilvl w:val="0"/>
          <w:numId w:val="7"/>
        </w:numPr>
        <w:shd w:val="clear" w:color="auto" w:fill="auto"/>
        <w:tabs>
          <w:tab w:pos="1398" w:val="left"/>
          <w:tab w:pos="1434" w:val="left"/>
        </w:tabs>
        <w:bidi w:val="0"/>
        <w:spacing w:before="0" w:after="40"/>
        <w:ind w:left="0" w:right="0" w:firstLine="70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40" w:line="262"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Вместе с этим Комиссией Управления отмечает, что в электронном документе «описание объекта закупки» Заказчиком определены требования к характеристикам закупаемых программного обеспечения, однако, как установлено Комиссией Управления, в нарушение п.7 Правил использования КТРУ, в составе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структурированной формы извещения, размещенной в соответствии ч.1 ст.42 Закона о контрактной системе, требования к характеристикам программного обеспечения, обозначенные в описании объекта закупки, надлежащим образом, позволяющим представить значения параметров характеристик, не указаны.</w:t>
      </w:r>
    </w:p>
    <w:p>
      <w:pPr>
        <w:pStyle w:val="Style6"/>
        <w:keepNext w:val="0"/>
        <w:keepLines w:val="0"/>
        <w:widowControl w:val="0"/>
        <w:shd w:val="clear" w:color="auto" w:fill="auto"/>
        <w:tabs>
          <w:tab w:pos="1006" w:val="left"/>
        </w:tabs>
        <w:bidi w:val="0"/>
        <w:spacing w:before="0" w:after="0"/>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об обоснованности довода жалобы, в части отсутствия в структурированной форме извещения информации о характеристиках программного обеспечения, а также о нарушении Заказчиком положений ч.6 ст.23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40"/>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numPr>
          <w:ilvl w:val="0"/>
          <w:numId w:val="9"/>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Заказчиком неправомерно установлено требование о необходимости представление участником закупки, непосредственно в составе заявки на участие в закупке, документов, подтверждающих соответствие участника закупки дополнительным требованиям к участникам конкурентной процедуры, установленным в соответствии с Постановлением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59" w:lineRule="auto"/>
        <w:ind w:left="0" w:right="0" w:firstLine="70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36" w:right="538" w:bottom="699" w:left="1099"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Вместе с этим пп.«а» п.1 Постановления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Приложением «Дополнительные требования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 (далее - Приложение) к Постановлению №2571.</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Пп.«а» п.3 Постановления №2571, в том числе определено, что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6"/>
        <w:keepNext w:val="0"/>
        <w:keepLines w:val="0"/>
        <w:widowControl w:val="0"/>
        <w:numPr>
          <w:ilvl w:val="0"/>
          <w:numId w:val="1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позиция Приложения к постановлению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pPr>
        <w:pStyle w:val="Style6"/>
        <w:keepNext w:val="0"/>
        <w:keepLines w:val="0"/>
        <w:widowControl w:val="0"/>
        <w:numPr>
          <w:ilvl w:val="0"/>
          <w:numId w:val="1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п.14 Приложения при проведении закупочной процедуры объектом которой являются работы, услуги по техническому обслуживанию зданий, сооружений к участникам закупочной процедуры предъявляются дополнительные требования о наличии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ч.2 или 2.1 (при </w:t>
      </w:r>
      <w:r>
        <w:rPr>
          <w:color w:val="000000"/>
          <w:spacing w:val="0"/>
          <w:w w:val="100"/>
          <w:position w:val="0"/>
          <w:shd w:val="clear" w:color="auto" w:fill="auto"/>
          <w:lang w:val="ru-RU" w:eastAsia="ru-RU" w:bidi="ru-RU"/>
        </w:rPr>
        <w:t>наличии таких требований) ст.31 Закона о контрактной системе, и предусмотренные пп.«н» п.1 ч.1 ст.31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ч.3 ст.43 Закона о контрактной системе требовать от участника закупки представления иных информации и документов, за исключением предусмотренных ч.1 и 2 ст.43 Закона о контрактной системе, не допускается.</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Комиссией Управления установлено, что в электронном документе «требования к составу заявки», размещенном в составе извещения, Заказчиком установлены в том числе следующие требования к составу заявки на участие в закупке: </w:t>
      </w:r>
      <w:r>
        <w:rPr>
          <w:i/>
          <w:iCs/>
          <w:color w:val="000000"/>
          <w:spacing w:val="0"/>
          <w:w w:val="100"/>
          <w:position w:val="0"/>
          <w:shd w:val="clear" w:color="auto" w:fill="auto"/>
          <w:lang w:val="ru-RU" w:eastAsia="ru-RU" w:bidi="ru-RU"/>
        </w:rPr>
        <w:t>«б) документы, подтверждающие соответствие участника закупки требованиям, установленным пунктом 1 части 1 статьи 31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если иное не предусмотрено Законом:</w:t>
      </w:r>
    </w:p>
    <w:p>
      <w:pPr>
        <w:pStyle w:val="Style6"/>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соответствии с позицией 14 приложения к ПП РФ от 29.12.2021 №2571:</w:t>
      </w:r>
    </w:p>
    <w:p>
      <w:pPr>
        <w:pStyle w:val="Style6"/>
        <w:keepNext w:val="0"/>
        <w:keepLines w:val="0"/>
        <w:widowControl w:val="0"/>
        <w:numPr>
          <w:ilvl w:val="0"/>
          <w:numId w:val="11"/>
        </w:numPr>
        <w:shd w:val="clear" w:color="auto" w:fill="auto"/>
        <w:tabs>
          <w:tab w:pos="1421" w:val="left"/>
        </w:tabs>
        <w:bidi w:val="0"/>
        <w:spacing w:before="0" w:after="0"/>
        <w:ind w:left="0" w:right="0" w:firstLine="740"/>
        <w:jc w:val="both"/>
      </w:pPr>
      <w:r>
        <w:rPr>
          <w:i/>
          <w:iCs/>
          <w:color w:val="000000"/>
          <w:spacing w:val="0"/>
          <w:w w:val="100"/>
          <w:position w:val="0"/>
          <w:shd w:val="clear" w:color="auto" w:fill="auto"/>
          <w:lang w:val="ru-RU" w:eastAsia="ru-RU" w:bidi="ru-RU"/>
        </w:rPr>
        <w:t>копия исполненного договора , предусматривающего выполнение по работ, оказание услуг по техническому обслуживанию зданий, сооружений. Цена оказанных услуг по договору должна составлять не менее 20 процентов начальной (максимальной) цены контракта.</w:t>
      </w:r>
    </w:p>
    <w:p>
      <w:pPr>
        <w:pStyle w:val="Style6"/>
        <w:keepNext w:val="0"/>
        <w:keepLines w:val="0"/>
        <w:widowControl w:val="0"/>
        <w:numPr>
          <w:ilvl w:val="0"/>
          <w:numId w:val="11"/>
        </w:numPr>
        <w:shd w:val="clear" w:color="auto" w:fill="auto"/>
        <w:tabs>
          <w:tab w:pos="1421" w:val="left"/>
        </w:tabs>
        <w:bidi w:val="0"/>
        <w:spacing w:before="0" w:after="0"/>
        <w:ind w:left="0" w:right="0" w:firstLine="740"/>
        <w:jc w:val="both"/>
      </w:pPr>
      <w:r>
        <w:rPr>
          <w:i/>
          <w:iCs/>
          <w:color w:val="000000"/>
          <w:spacing w:val="0"/>
          <w:w w:val="100"/>
          <w:position w:val="0"/>
          <w:shd w:val="clear" w:color="auto" w:fill="auto"/>
          <w:lang w:val="ru-RU" w:eastAsia="ru-RU" w:bidi="ru-RU"/>
        </w:rPr>
        <w:t>акт приемки выполненных работ, оказанных услуг, подтверждающий цену выполненных работ, оказанных услуг».</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Управления отмечает, что в спорное требование установлено в положении, предъявляющем требования содержанию и составу заявки на участие в закупке, которая представляется непосредственно участником закупки, ввиду чего, формально участник закупки обязан представить такие сведения в составе заявки на участие в закупке.</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что спорное требование, указанное в требованиях к содержанию, составу заявки на участие в закупке является избыточным, а также может вводить участников закупки в заблуждение и повлечь за собой ограничение количества участников аукциона.</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Заказчика ч.3 ст.43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6"/>
        <w:keepNext w:val="0"/>
        <w:keepLines w:val="0"/>
        <w:widowControl w:val="0"/>
        <w:numPr>
          <w:ilvl w:val="0"/>
          <w:numId w:val="9"/>
        </w:numPr>
        <w:shd w:val="clear" w:color="auto" w:fill="auto"/>
        <w:tabs>
          <w:tab w:pos="1018"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составе описания объекта закупки Заказчиком неправомерно не конкретизированы виды работ (услуг) составляющих деятельность по монтажу, техническому обслуживанию и ремонту средств обеспечения пожарной безопасности зданий и сооружений, подлежащие к указанию в лицензии, необходимой к представлению исполнителем контракта, либо иным лицом привлекаемым к исполнению контракта.</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В силу п.15 ч.1 ст.12 Федерального закона «О лицензировании отдельных видов деятельности» от 04.05.2011 №99-ФЗ (далее - Закон о лицензировании) лицензированию подлежит такой вид деятельности как деятельность по монтажу, техническому обслуживанию и ремонту средств обеспечения пожарной безопасности зданий и сооружений.</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в том числе установлено:</w:t>
      </w:r>
    </w:p>
    <w:p>
      <w:pPr>
        <w:pStyle w:val="Style6"/>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«В случае отсутствия у Исполнителя соответствующего разрешения/лицензии на выпол-нение каких-либо работ/услуг, являющихся предметом настоящего технического задания, ука-занные работы/услуги выполняются привлечением организацией, имеющей соответствующие разрешения/лицензии. Исполнитель определяет указанную организацию самостоятельно и при этом остается ответственным за последствия неисполнения или ненадлежащего исполнения обязательств по Договору».</w:t>
      </w:r>
    </w:p>
    <w:p>
      <w:pPr>
        <w:pStyle w:val="Style6"/>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color w:val="000000"/>
          <w:spacing w:val="0"/>
          <w:w w:val="100"/>
          <w:position w:val="0"/>
          <w:shd w:val="clear" w:color="auto" w:fill="auto"/>
          <w:lang w:val="ru-RU" w:eastAsia="ru-RU" w:bidi="ru-RU"/>
        </w:rPr>
        <w:t>13. Наименование и виды услуг.: 13.7. Системы пожарной безопасности (Системы водяного, газового и порошкового пожаротушения, оповещения, дымоудаления и подпора воздуха)</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Выполнение регламентных работ на системах водяного пожаротушения (перемотка по-жарных рукавов, пролив струи, проверка работы автоматики пожарного водопровода).</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Комплексное испытание систем пожарной безопасности»;</w:t>
      </w:r>
    </w:p>
    <w:p>
      <w:pPr>
        <w:pStyle w:val="Style6"/>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«Все услуги, оказываемые в соответствии с техническим заданием, должны оказываться в соответствии с действующим законодательством Российской Федерации.</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Исполнитель обязан иметь все необходимые лицензии, включая лицензию на деятельности по монтажу, техническому обслуживанию и ремонту средств обеспечения пожарной без-опасности зданий и сооружений сертификаты, допуски, удостоверения, аккредитации, иные документы, позволяющие оказать указанные услуги, предусмотренные Договором или иметь кон-тракт/договор с субподрядной организацией, имеющей лицензию на данный вид работ».</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в рамках необходимых Заказчику услуг подлежат оказанию услуги, в рамках которых осуществляются лицензируемые виды деятельности, в частности деятельность по техническому обслуживанию средств обеспечения пожарной безопасности зданий и сооружений.</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определенное в описании объекта закупки требование о наличии у исполнителя действующей лицензии, либо привлечения лица, обладающего необходимой лицензией, установлено Заказчиком без конкретизации видов деятельности, подлежащих к указанию в лицензии исполнителя контракта, либо привлекаемого соисполнителя контракта.</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П.1 Постановления Правительства РФ от 28.07.2020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утверждено Положение о лицензировании деятельности по монтажу, техническому обслуживанию и ремонту средств обеспечения пожарной безопасности зданий и сооружений (далее — Положение).</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п.3 Положения лицензируемая деятельность включает в себя выполнение работ и оказание услуг согласно перечню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предусмотренному приложением к Положению.</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Приложением к Положению «Перечень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определены виды работ (услуг) составляющих деятельность по монтажу, техническому обслуживанию и ремонту средств обеспечения пожарной безопасности зданий и сооружений, а именно:</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1. Монтаж, техническое обслуживание и ремонт систем пожаротушения</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2. Монтаж, техническое обслуживание и ремонт систем пожарной и</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охранно-пожарной сигнализации 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3. Монтаж, техническое обслуживание и ремонт систем</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противопожарного водоснабжения 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4. Монтаж, техническое обслуживание и ремонт автоматических систем</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(элементов автоматических систем) противодымной вентиляции,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5. Монтаж, техническое обслуживание и ремонт систем оповещения и</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6. Монтаж, техническое обслуживание и ремонт автоматических систем</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(элементов автоматических систем) передачи извещений о пожаре,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3"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7. Монтаж, техническое обслуживание и ремонт противопожарных</w:t>
      </w:r>
    </w:p>
    <w:p>
      <w:pPr>
        <w:pStyle w:val="Style6"/>
        <w:keepNext w:val="0"/>
        <w:keepLines w:val="0"/>
        <w:widowControl w:val="0"/>
        <w:shd w:val="clear" w:color="auto" w:fill="auto"/>
        <w:bidi w:val="0"/>
        <w:spacing w:before="0" w:after="0" w:line="252" w:lineRule="auto"/>
        <w:ind w:left="0" w:right="0" w:firstLine="0"/>
        <w:jc w:val="both"/>
        <w:sectPr>
          <w:headerReference w:type="default" r:id="rId11"/>
          <w:footerReference w:type="default" r:id="rId12"/>
          <w:footnotePr>
            <w:pos w:val="pageBottom"/>
            <w:numFmt w:val="decimal"/>
            <w:numRestart w:val="continuous"/>
          </w:footnotePr>
          <w:pgSz w:w="11900" w:h="16840"/>
          <w:pgMar w:top="1162" w:right="533" w:bottom="1258" w:left="1086" w:header="0" w:footer="3" w:gutter="0"/>
          <w:cols w:space="720"/>
          <w:noEndnote/>
          <w:rtlGutter w:val="0"/>
          <w:docGrid w:linePitch="360"/>
        </w:sectPr>
      </w:pPr>
      <w:r>
        <w:rPr>
          <w:color w:val="000000"/>
          <w:spacing w:val="0"/>
          <w:w w:val="100"/>
          <w:position w:val="0"/>
          <w:shd w:val="clear" w:color="auto" w:fill="auto"/>
          <w:lang w:val="ru-RU" w:eastAsia="ru-RU" w:bidi="ru-RU"/>
        </w:rPr>
        <w:t>занавесов и завес, включая диспетчеризацию и проведение пусконаладочных</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работ;</w:t>
      </w:r>
    </w:p>
    <w:p>
      <w:pPr>
        <w:pStyle w:val="Style6"/>
        <w:keepNext w:val="0"/>
        <w:keepLines w:val="0"/>
        <w:widowControl w:val="0"/>
        <w:numPr>
          <w:ilvl w:val="0"/>
          <w:numId w:val="13"/>
        </w:numPr>
        <w:shd w:val="clear" w:color="auto" w:fill="auto"/>
        <w:tabs>
          <w:tab w:pos="1431"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8. Монтаж, техническое обслуживание и ремонт заполнений проемов в</w:t>
      </w:r>
    </w:p>
    <w:p>
      <w:pPr>
        <w:pStyle w:val="Style6"/>
        <w:keepNext w:val="0"/>
        <w:keepLines w:val="0"/>
        <w:widowControl w:val="0"/>
        <w:shd w:val="clear" w:color="auto" w:fill="auto"/>
        <w:bidi w:val="0"/>
        <w:spacing w:before="0" w:after="40" w:line="252" w:lineRule="auto"/>
        <w:ind w:left="0" w:right="0" w:firstLine="0"/>
        <w:jc w:val="both"/>
      </w:pPr>
      <w:r>
        <w:rPr>
          <w:color w:val="000000"/>
          <w:spacing w:val="0"/>
          <w:w w:val="100"/>
          <w:position w:val="0"/>
          <w:shd w:val="clear" w:color="auto" w:fill="auto"/>
          <w:lang w:val="ru-RU" w:eastAsia="ru-RU" w:bidi="ru-RU"/>
        </w:rPr>
        <w:t>противопожарных преградах;</w:t>
      </w:r>
    </w:p>
    <w:p>
      <w:pPr>
        <w:pStyle w:val="Style6"/>
        <w:keepNext w:val="0"/>
        <w:keepLines w:val="0"/>
        <w:widowControl w:val="0"/>
        <w:numPr>
          <w:ilvl w:val="0"/>
          <w:numId w:val="13"/>
        </w:numPr>
        <w:shd w:val="clear" w:color="auto" w:fill="auto"/>
        <w:tabs>
          <w:tab w:pos="1431"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9. Выполнение работ по огнезащите материалов, изделий и</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конструкций;</w:t>
      </w:r>
    </w:p>
    <w:p>
      <w:pPr>
        <w:pStyle w:val="Style6"/>
        <w:keepNext w:val="0"/>
        <w:keepLines w:val="0"/>
        <w:widowControl w:val="0"/>
        <w:numPr>
          <w:ilvl w:val="0"/>
          <w:numId w:val="13"/>
        </w:numPr>
        <w:shd w:val="clear" w:color="auto" w:fill="auto"/>
        <w:tabs>
          <w:tab w:pos="1431" w:val="left"/>
          <w:tab w:pos="212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10. Монтаж, техническое обслуживание и ремонт первичных средств</w:t>
      </w:r>
    </w:p>
    <w:p>
      <w:pPr>
        <w:pStyle w:val="Style6"/>
        <w:keepNext w:val="0"/>
        <w:keepLines w:val="0"/>
        <w:widowControl w:val="0"/>
        <w:shd w:val="clear" w:color="auto" w:fill="auto"/>
        <w:bidi w:val="0"/>
        <w:spacing w:before="0" w:after="40" w:line="252" w:lineRule="auto"/>
        <w:ind w:left="0" w:right="0" w:firstLine="0"/>
        <w:jc w:val="both"/>
      </w:pPr>
      <w:r>
        <w:rPr>
          <w:color w:val="000000"/>
          <w:spacing w:val="0"/>
          <w:w w:val="100"/>
          <w:position w:val="0"/>
          <w:shd w:val="clear" w:color="auto" w:fill="auto"/>
          <w:lang w:val="ru-RU" w:eastAsia="ru-RU" w:bidi="ru-RU"/>
        </w:rPr>
        <w:t>пожаротушения.</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услуги, включающие в себя лицензируемые виды деятельности составляют малую часть необходимых услуг, при этом определить виды лицензируемой деятельности участникам закупки представлялось возможным исходя из перечня необходимых к выполнению услуг.</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частности исполнителю, либо привлекаемому к исполнению контракта соисполнителю надлежит обладать лицензией на осуществление деятельности по монтажу, техническому обслуживанию и ремонту средств обеспечения пожарной безопасности зданий и сооружений со следующими видами деятельности:</w:t>
      </w:r>
    </w:p>
    <w:p>
      <w:pPr>
        <w:pStyle w:val="Style6"/>
        <w:keepNext w:val="0"/>
        <w:keepLines w:val="0"/>
        <w:widowControl w:val="0"/>
        <w:numPr>
          <w:ilvl w:val="0"/>
          <w:numId w:val="13"/>
        </w:numPr>
        <w:shd w:val="clear" w:color="auto" w:fill="auto"/>
        <w:tabs>
          <w:tab w:pos="143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Монтаж, техническое обслуживание и ремонт систем пожаротушения 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pPr>
        <w:pStyle w:val="Style6"/>
        <w:keepNext w:val="0"/>
        <w:keepLines w:val="0"/>
        <w:widowControl w:val="0"/>
        <w:numPr>
          <w:ilvl w:val="0"/>
          <w:numId w:val="13"/>
        </w:numPr>
        <w:shd w:val="clear" w:color="auto" w:fill="auto"/>
        <w:tabs>
          <w:tab w:pos="143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приходит к выводу, что из положений описания объекта закупки участникам закупки не представляется возможным прийти к однозначному выводу о том какой лицензией должен обладать исполнитель контракта, в частности о необходимости наличия у исполнителя контракта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с конкретными видами работ, что не позволяет участникам закупки корректным образом оценить необходимость привлечения соисполнителя при исполнении контракта, заключаемого по результатам обжалуемой процедуры.</w:t>
      </w:r>
    </w:p>
    <w:p>
      <w:pPr>
        <w:pStyle w:val="Style6"/>
        <w:keepNext w:val="0"/>
        <w:keepLines w:val="0"/>
        <w:widowControl w:val="0"/>
        <w:shd w:val="clear" w:color="auto" w:fill="auto"/>
        <w:bidi w:val="0"/>
        <w:spacing w:before="0" w:after="40" w:line="27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77" w:left="110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Комиссия Управления приходит к выводу о нарушении Заказчиком п.1 ч.1 ст.33 Закона о контрактной системе, что также свидетельствует о наличии в действиях Заказчика признаков состава </w:t>
      </w:r>
      <w:r>
        <w:rPr>
          <w:color w:val="000000"/>
          <w:spacing w:val="0"/>
          <w:w w:val="100"/>
          <w:position w:val="0"/>
          <w:sz w:val="24"/>
          <w:szCs w:val="24"/>
          <w:shd w:val="clear" w:color="auto" w:fill="auto"/>
          <w:lang w:val="ru-RU" w:eastAsia="ru-RU" w:bidi="ru-RU"/>
        </w:rPr>
        <w:t>2024-1335</w:t>
      </w:r>
    </w:p>
    <w:p>
      <w:pPr>
        <w:pStyle w:val="Style6"/>
        <w:keepNext w:val="0"/>
        <w:keepLines w:val="0"/>
        <w:widowControl w:val="0"/>
        <w:shd w:val="clear" w:color="auto" w:fill="auto"/>
        <w:tabs>
          <w:tab w:pos="994" w:val="left"/>
        </w:tabs>
        <w:bidi w:val="0"/>
        <w:spacing w:before="0" w:after="0" w:line="259" w:lineRule="auto"/>
        <w:ind w:left="0" w:right="0" w:firstLine="0"/>
        <w:jc w:val="both"/>
      </w:pPr>
      <w:r>
        <w:rPr>
          <w:color w:val="000000"/>
          <w:spacing w:val="0"/>
          <w:w w:val="100"/>
          <w:position w:val="0"/>
          <w:shd w:val="clear" w:color="auto" w:fill="auto"/>
          <w:lang w:val="ru-RU" w:eastAsia="ru-RU" w:bidi="ru-RU"/>
        </w:rPr>
        <w:t>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40" w:line="259"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Одновременно с этим Комиссией Управления установлено, что вышеуказанные нарушения не повлияли на результаты определения поставщика, (подрядчика, исполнителя), так как, согласно протоколу подведения итогов определения поставщика (подрядчика, исполнителя) от 10.01.2024 №ИЭА1, на участие в закупке подано 6 заявок, при этом 5 заявок признаны соответствующими требованиям извещения, а снижение цены контракта в ходе аукциона составило 25.10%.</w:t>
      </w:r>
    </w:p>
    <w:p>
      <w:pPr>
        <w:pStyle w:val="Style6"/>
        <w:keepNext w:val="0"/>
        <w:keepLines w:val="0"/>
        <w:widowControl w:val="0"/>
        <w:shd w:val="clear" w:color="auto" w:fill="auto"/>
        <w:bidi w:val="0"/>
        <w:spacing w:before="0" w:after="0" w:line="259"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50"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6"/>
        <w:keepNext w:val="0"/>
        <w:keepLines w:val="0"/>
        <w:widowControl w:val="0"/>
        <w:shd w:val="clear" w:color="auto" w:fill="auto"/>
        <w:bidi w:val="0"/>
        <w:spacing w:before="0" w:after="300" w:line="252"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Признать жалобу ООО «Триумф» на действия ФГБУК «ГАЦТК им. С.В. Образцова» обоснованной в части отсутствия в структурированной форме извещения информации о характеристиках программного обеспечения, установления неправомерных требований к составу заявки на участие в закупке, а также формирования описания объекта закупки в нарушение положений Закона о контрактной системе.</w:t>
      </w:r>
    </w:p>
    <w:p>
      <w:pPr>
        <w:pStyle w:val="Style6"/>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ст.23, п.1 ч.1 ст.33, ч.3 ст.43 Закона о контрактной системе.</w:t>
      </w:r>
    </w:p>
    <w:p>
      <w:pPr>
        <w:pStyle w:val="Style6"/>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15"/>
        </w:numPr>
        <w:shd w:val="clear" w:color="auto" w:fill="auto"/>
        <w:tabs>
          <w:tab w:pos="1411" w:val="left"/>
        </w:tabs>
        <w:bidi w:val="0"/>
        <w:spacing w:before="0" w:after="300" w:line="252"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278" w:left="1106" w:header="0" w:footer="3" w:gutter="0"/>
          <w:cols w:space="720"/>
          <w:noEndnote/>
          <w:rtlGutter w:val="0"/>
          <w:docGrid w:linePitch="360"/>
        </w:sectPr>
      </w:pPr>
      <w:r>
        <mc:AlternateContent>
          <mc:Choice Requires="wps">
            <w:drawing>
              <wp:anchor distT="241300" distB="359410" distL="0" distR="0" simplePos="0" relativeHeight="125829381" behindDoc="0" locked="0" layoutInCell="1" allowOverlap="1">
                <wp:simplePos x="0" y="0"/>
                <wp:positionH relativeFrom="page">
                  <wp:posOffset>735965</wp:posOffset>
                </wp:positionH>
                <wp:positionV relativeFrom="paragraph">
                  <wp:posOffset>241300</wp:posOffset>
                </wp:positionV>
                <wp:extent cx="1896110" cy="250190"/>
                <wp:wrapTopAndBottom/>
                <wp:docPr id="19" name="Shape 19"/>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19.pt;width:149.30000000000001pt;height:19.699999999999999pt;z-index:-125829372;mso-wrap-distance-left:0;mso-wrap-distance-top:19.pt;mso-wrap-distance-right:0;mso-wrap-distance-bottom:28.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78130" distB="0" distL="0" distR="1789430" simplePos="0" relativeHeight="125829383" behindDoc="0" locked="0" layoutInCell="1" allowOverlap="1">
            <wp:simplePos x="0" y="0"/>
            <wp:positionH relativeFrom="page">
              <wp:posOffset>3074035</wp:posOffset>
            </wp:positionH>
            <wp:positionV relativeFrom="paragraph">
              <wp:posOffset>278130</wp:posOffset>
            </wp:positionV>
            <wp:extent cx="389890" cy="57277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716915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1.15000000000003pt;margin-top:56.450000000000003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403225</wp:posOffset>
                </wp:positionV>
                <wp:extent cx="1725295" cy="259080"/>
                <wp:wrapNone/>
                <wp:docPr id="25" name="Shape 2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31.75pt;width:135.84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41300" distB="359410" distL="0" distR="0" simplePos="0" relativeHeight="125829384" behindDoc="0" locked="0" layoutInCell="1" allowOverlap="1">
                <wp:simplePos x="0" y="0"/>
                <wp:positionH relativeFrom="page">
                  <wp:posOffset>6039485</wp:posOffset>
                </wp:positionH>
                <wp:positionV relativeFrom="paragraph">
                  <wp:posOffset>241300</wp:posOffset>
                </wp:positionV>
                <wp:extent cx="1182370" cy="250190"/>
                <wp:wrapTopAndBottom/>
                <wp:docPr id="27" name="Shape 27"/>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3" type="#_x0000_t202" style="position:absolute;margin-left:475.55000000000001pt;margin-top:19.pt;width:93.100000000000009pt;height:19.699999999999999pt;z-index:-125829369;mso-wrap-distance-left:0;mso-wrap-distance-top:19.pt;mso-wrap-distance-right:0;mso-wrap-distance-bottom:28.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00Е9СЕАА6ОО6САЭ20С424А9502ЕС296Е8</w:t>
      </w:r>
      <w:r>
        <w:rPr>
          <w:color w:val="252525"/>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58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505050"/>
          <w:spacing w:val="0"/>
          <w:w w:val="100"/>
          <w:position w:val="0"/>
          <w:shd w:val="clear" w:color="auto" w:fill="auto"/>
          <w:lang w:val="ru-RU" w:eastAsia="ru-RU" w:bidi="ru-RU"/>
        </w:rPr>
        <w:t xml:space="preserve">22.12.2022 </w:t>
      </w:r>
      <w:r>
        <w:rPr>
          <w:color w:val="6E6E6E"/>
          <w:spacing w:val="0"/>
          <w:w w:val="100"/>
          <w:position w:val="0"/>
          <w:shd w:val="clear" w:color="auto" w:fill="auto"/>
          <w:lang w:val="ru-RU" w:eastAsia="ru-RU" w:bidi="ru-RU"/>
        </w:rPr>
        <w:t>по 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6" behindDoc="0" locked="0" layoutInCell="1" allowOverlap="1">
            <wp:simplePos x="0" y="0"/>
            <wp:positionH relativeFrom="page">
              <wp:posOffset>3073400</wp:posOffset>
            </wp:positionH>
            <wp:positionV relativeFrom="paragraph">
              <wp:posOffset>25400</wp:posOffset>
            </wp:positionV>
            <wp:extent cx="389890" cy="57277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461010</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1.10000000000002pt;margin-top:36.300000000000004pt;width:100.8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150495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pt;margin-top:11.8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3"/>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Кому </w:t>
      </w:r>
      <w:r>
        <w:rPr>
          <w:color w:val="505050"/>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Матюшенко Александр Александрович</w:t>
      </w:r>
    </w:p>
    <w:p>
      <w:pPr>
        <w:pStyle w:val="Style23"/>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05050"/>
          <w:spacing w:val="0"/>
          <w:w w:val="100"/>
          <w:position w:val="0"/>
          <w:shd w:val="clear" w:color="auto" w:fill="auto"/>
          <w:lang w:val="ru-RU" w:eastAsia="ru-RU" w:bidi="ru-RU"/>
        </w:rPr>
        <w:t>44СР019Э689ЕВ23598ВССВЕ99Е1С6Е2С</w:t>
      </w:r>
    </w:p>
    <w:p>
      <w:pPr>
        <w:pStyle w:val="Style23"/>
        <w:keepNext w:val="0"/>
        <w:keepLines w:val="0"/>
        <w:widowControl w:val="0"/>
        <w:shd w:val="clear" w:color="auto" w:fill="auto"/>
        <w:bidi w:val="0"/>
        <w:spacing w:before="0" w:after="58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505050"/>
          <w:spacing w:val="0"/>
          <w:w w:val="100"/>
          <w:position w:val="0"/>
          <w:shd w:val="clear" w:color="auto" w:fill="auto"/>
          <w:lang w:val="ru-RU" w:eastAsia="ru-RU" w:bidi="ru-RU"/>
        </w:rPr>
        <w:t xml:space="preserve">10.04.2023 </w:t>
      </w:r>
      <w:r>
        <w:rPr>
          <w:color w:val="6E6E6E"/>
          <w:spacing w:val="0"/>
          <w:w w:val="100"/>
          <w:position w:val="0"/>
          <w:shd w:val="clear" w:color="auto" w:fill="auto"/>
          <w:lang w:val="ru-RU" w:eastAsia="ru-RU" w:bidi="ru-RU"/>
        </w:rPr>
        <w:t>по 03.07.2024</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7" behindDoc="0" locked="0" layoutInCell="1" allowOverlap="1">
            <wp:simplePos x="0" y="0"/>
            <wp:positionH relativeFrom="page">
              <wp:posOffset>3073400</wp:posOffset>
            </wp:positionH>
            <wp:positionV relativeFrom="paragraph">
              <wp:posOffset>25400</wp:posOffset>
            </wp:positionV>
            <wp:extent cx="389890" cy="57277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3569970</wp:posOffset>
                </wp:positionH>
                <wp:positionV relativeFrom="paragraph">
                  <wp:posOffset>464185</wp:posOffset>
                </wp:positionV>
                <wp:extent cx="1280160" cy="103505"/>
                <wp:wrapNone/>
                <wp:docPr id="37" name="Shape 3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3" type="#_x0000_t202" style="position:absolute;margin-left:281.10000000000002pt;margin-top:36.550000000000004pt;width:100.8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3524250</wp:posOffset>
                </wp:positionH>
                <wp:positionV relativeFrom="paragraph">
                  <wp:posOffset>153670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pt;margin-top:12.1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3"/>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00923Э2А1Е2Е82694604ЕЕЕ7722Э2557ЕЕ</w:t>
      </w:r>
    </w:p>
    <w:p>
      <w:pPr>
        <w:pStyle w:val="Style23"/>
        <w:keepNext w:val="0"/>
        <w:keepLines w:val="0"/>
        <w:widowControl w:val="0"/>
        <w:shd w:val="clear" w:color="auto" w:fill="auto"/>
        <w:bidi w:val="0"/>
        <w:spacing w:before="0" w:after="52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393939"/>
          <w:spacing w:val="0"/>
          <w:w w:val="100"/>
          <w:position w:val="0"/>
          <w:shd w:val="clear" w:color="auto" w:fill="auto"/>
          <w:lang w:val="ru-RU" w:eastAsia="ru-RU" w:bidi="ru-RU"/>
        </w:rPr>
        <w:t xml:space="preserve">05.12.2023 </w:t>
      </w:r>
      <w:r>
        <w:rPr>
          <w:color w:val="6E6E6E"/>
          <w:spacing w:val="0"/>
          <w:w w:val="100"/>
          <w:position w:val="0"/>
          <w:shd w:val="clear" w:color="auto" w:fill="auto"/>
          <w:lang w:val="ru-RU" w:eastAsia="ru-RU" w:bidi="ru-RU"/>
        </w:rPr>
        <w:t xml:space="preserve">по </w:t>
      </w:r>
      <w:r>
        <w:rPr>
          <w:color w:val="393939"/>
          <w:spacing w:val="0"/>
          <w:w w:val="100"/>
          <w:position w:val="0"/>
          <w:shd w:val="clear" w:color="auto" w:fill="auto"/>
          <w:lang w:val="ru-RU" w:eastAsia="ru-RU" w:bidi="ru-RU"/>
        </w:rPr>
        <w:t>27.02.2025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10313035</wp:posOffset>
              </wp:positionV>
              <wp:extent cx="643255" cy="100330"/>
              <wp:wrapNone/>
              <wp:docPr id="7" name="Shape 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wps:txbx>
                    <wps:bodyPr wrap="none" lIns="0" tIns="0" rIns="0" bIns="0">
                      <a:spAutoFit/>
                    </wps:bodyPr>
                  </wps:wsp>
                </a:graphicData>
              </a:graphic>
            </wp:anchor>
          </w:drawing>
        </mc:Choice>
        <mc:Fallback>
          <w:pict>
            <v:shape id="_x0000_s1033" type="#_x0000_t202" style="position:absolute;margin-left:56.649999999999999pt;margin-top:812.05000000000007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646430" cy="100330"/>
              <wp:wrapNone/>
              <wp:docPr id="17" name="Shape 1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0.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462280</wp:posOffset>
              </wp:positionV>
              <wp:extent cx="121920" cy="103505"/>
              <wp:wrapNone/>
              <wp:docPr id="5" name="Shape 5"/>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30000000000001pt;margin-top:36.399999999999999pt;width:9.5999999999999996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476250</wp:posOffset>
              </wp:positionV>
              <wp:extent cx="121920" cy="103505"/>
              <wp:wrapNone/>
              <wp:docPr id="9" name="Shape 9"/>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37.5pt;width:9.5999999999999996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462280</wp:posOffset>
              </wp:positionV>
              <wp:extent cx="121920" cy="103505"/>
              <wp:wrapNone/>
              <wp:docPr id="13" name="Shape 13"/>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6.399999999999999pt;width:9.5999999999999996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476250</wp:posOffset>
              </wp:positionV>
              <wp:extent cx="121920" cy="103505"/>
              <wp:wrapNone/>
              <wp:docPr id="15" name="Shape 15"/>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0000000000001pt;margin-top:37.5pt;width:9.5999999999999996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60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sz w:val="12"/>
      <w:szCs w:val="12"/>
      <w:u w:val="none"/>
    </w:rPr>
  </w:style>
  <w:style w:type="paragraph" w:customStyle="1" w:styleId="Style29">
    <w:name w:val="Основной текст (4)"/>
    <w:basedOn w:val="Normal"/>
    <w:link w:val="CharStyle30"/>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