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3554095</wp:posOffset>
            </wp:positionH>
            <wp:positionV relativeFrom="paragraph">
              <wp:posOffset>134620</wp:posOffset>
            </wp:positionV>
            <wp:extent cx="56705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7055" cy="66421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4624070</wp:posOffset>
                </wp:positionH>
                <wp:positionV relativeFrom="paragraph">
                  <wp:posOffset>12700</wp:posOffset>
                </wp:positionV>
                <wp:extent cx="2045970" cy="1264285"/>
                <wp:wrapSquare wrapText="bothSides"/>
                <wp:docPr id="3" name="Shape 3"/>
                <a:graphic xmlns:a="http://schemas.openxmlformats.org/drawingml/2006/main">
                  <a:graphicData uri="http://schemas.microsoft.com/office/word/2010/wordprocessingShape">
                    <wps:wsp>
                      <wps:cNvSpPr txBox="1"/>
                      <wps:spPr>
                        <a:xfrm>
                          <a:ext cx="2045970" cy="1264285"/>
                        </a:xfrm>
                        <a:prstGeom prst="rect"/>
                        <a:noFill/>
                      </wps:spPr>
                      <wps:txbx>
                        <w:txbxContent>
                          <w:p>
                            <w:pPr>
                              <w:pStyle w:val="Style2"/>
                              <w:keepNext w:val="0"/>
                              <w:keepLines w:val="0"/>
                              <w:widowControl w:val="0"/>
                              <w:shd w:val="clear" w:color="auto" w:fill="auto"/>
                              <w:bidi w:val="0"/>
                              <w:spacing w:before="0" w:after="320" w:line="240" w:lineRule="auto"/>
                              <w:ind w:left="0" w:right="0" w:firstLine="0"/>
                              <w:jc w:val="center"/>
                            </w:pPr>
                            <w:r>
                              <w:rPr>
                                <w:spacing w:val="0"/>
                                <w:w w:val="100"/>
                                <w:position w:val="0"/>
                                <w:sz w:val="24"/>
                                <w:szCs w:val="24"/>
                                <w:shd w:val="clear" w:color="auto" w:fill="auto"/>
                                <w:lang w:val="ru-RU" w:eastAsia="ru-RU" w:bidi="ru-RU"/>
                              </w:rPr>
                              <w:t>МОНОПОЛИЯМ КАРШЫ</w:t>
                              <w:br/>
                              <w:t>ФЕДЕРАЛЬ ХЕЗМОТ</w:t>
                            </w:r>
                          </w:p>
                          <w:p>
                            <w:pPr>
                              <w:pStyle w:val="Style2"/>
                              <w:keepNext w:val="0"/>
                              <w:keepLines w:val="0"/>
                              <w:widowControl w:val="0"/>
                              <w:shd w:val="clear" w:color="auto" w:fill="auto"/>
                              <w:bidi w:val="0"/>
                              <w:spacing w:before="0" w:after="0" w:line="221" w:lineRule="auto"/>
                              <w:ind w:left="0" w:right="0" w:firstLine="0"/>
                              <w:jc w:val="center"/>
                              <w:rPr>
                                <w:sz w:val="26"/>
                                <w:szCs w:val="26"/>
                              </w:rPr>
                            </w:pPr>
                            <w:r>
                              <w:rPr>
                                <w:b w:val="0"/>
                                <w:bCs w:val="0"/>
                                <w:spacing w:val="0"/>
                                <w:w w:val="100"/>
                                <w:position w:val="0"/>
                                <w:sz w:val="26"/>
                                <w:szCs w:val="26"/>
                                <w:shd w:val="clear" w:color="auto" w:fill="auto"/>
                                <w:lang w:val="ru-RU" w:eastAsia="ru-RU" w:bidi="ru-RU"/>
                              </w:rPr>
                              <w:t>Монополиям карты</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Федераль хезмэтнец</w:t>
                              <w:br/>
                              <w:t>Татарстан Республикасы</w:t>
                              <w:br/>
                              <w:t>буенча идарэсе</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4.10000000000002pt;margin-top:1.pt;width:161.09999999999999pt;height:99.549999999999997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320" w:line="240" w:lineRule="auto"/>
                        <w:ind w:left="0" w:right="0" w:firstLine="0"/>
                        <w:jc w:val="center"/>
                      </w:pPr>
                      <w:r>
                        <w:rPr>
                          <w:spacing w:val="0"/>
                          <w:w w:val="100"/>
                          <w:position w:val="0"/>
                          <w:sz w:val="24"/>
                          <w:szCs w:val="24"/>
                          <w:shd w:val="clear" w:color="auto" w:fill="auto"/>
                          <w:lang w:val="ru-RU" w:eastAsia="ru-RU" w:bidi="ru-RU"/>
                        </w:rPr>
                        <w:t>МОНОПОЛИЯМ КАРШЫ</w:t>
                        <w:br/>
                        <w:t>ФЕДЕРАЛЬ ХЕЗМОТ</w:t>
                      </w:r>
                    </w:p>
                    <w:p>
                      <w:pPr>
                        <w:pStyle w:val="Style2"/>
                        <w:keepNext w:val="0"/>
                        <w:keepLines w:val="0"/>
                        <w:widowControl w:val="0"/>
                        <w:shd w:val="clear" w:color="auto" w:fill="auto"/>
                        <w:bidi w:val="0"/>
                        <w:spacing w:before="0" w:after="0" w:line="221" w:lineRule="auto"/>
                        <w:ind w:left="0" w:right="0" w:firstLine="0"/>
                        <w:jc w:val="center"/>
                        <w:rPr>
                          <w:sz w:val="26"/>
                          <w:szCs w:val="26"/>
                        </w:rPr>
                      </w:pPr>
                      <w:r>
                        <w:rPr>
                          <w:b w:val="0"/>
                          <w:bCs w:val="0"/>
                          <w:spacing w:val="0"/>
                          <w:w w:val="100"/>
                          <w:position w:val="0"/>
                          <w:sz w:val="26"/>
                          <w:szCs w:val="26"/>
                          <w:shd w:val="clear" w:color="auto" w:fill="auto"/>
                          <w:lang w:val="ru-RU" w:eastAsia="ru-RU" w:bidi="ru-RU"/>
                        </w:rPr>
                        <w:t>Монополиям карты</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Федераль хезмэтнец</w:t>
                        <w:br/>
                        <w:t>Татарстан Республикасы</w:t>
                        <w:br/>
                        <w:t>буенча идарэсе</w:t>
                      </w:r>
                    </w:p>
                  </w:txbxContent>
                </v:textbox>
                <w10:wrap type="square" anchorx="page"/>
              </v:shape>
            </w:pict>
          </mc:Fallback>
        </mc:AlternateContent>
      </w:r>
    </w:p>
    <w:p>
      <w:pPr>
        <w:pStyle w:val="Style2"/>
        <w:keepNext w:val="0"/>
        <w:keepLines w:val="0"/>
        <w:widowControl w:val="0"/>
        <w:shd w:val="clear" w:color="auto" w:fill="auto"/>
        <w:bidi w:val="0"/>
        <w:spacing w:before="0" w:after="300" w:line="240" w:lineRule="auto"/>
        <w:ind w:left="0" w:right="0" w:firstLine="0"/>
        <w:jc w:val="cente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925" w:right="6872" w:bottom="1251" w:left="960" w:header="0" w:footer="3" w:gutter="0"/>
          <w:pgNumType w:start="1"/>
          <w:cols w:space="720"/>
          <w:noEndnote/>
          <w:titlePg/>
          <w:rtlGutter w:val="0"/>
          <w:docGrid w:linePitch="360"/>
        </w:sectP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925" w:right="0" w:bottom="1251" w:left="0" w:header="0" w:footer="3" w:gutter="0"/>
          <w:cols w:space="720"/>
          <w:noEndnote/>
          <w:rtlGutter w:val="0"/>
          <w:docGrid w:linePitch="360"/>
        </w:sectPr>
      </w:pPr>
    </w:p>
    <w:p>
      <w:pPr>
        <w:pStyle w:val="Style5"/>
        <w:keepNext w:val="0"/>
        <w:keepLines w:val="0"/>
        <w:framePr w:w="515" w:h="385" w:wrap="none" w:vAnchor="text" w:hAnchor="page" w:x="997" w:y="894"/>
        <w:widowControl w:val="0"/>
        <w:shd w:val="clear" w:color="auto" w:fill="auto"/>
        <w:bidi w:val="0"/>
        <w:spacing w:before="0" w:after="0" w:line="240" w:lineRule="auto"/>
        <w:ind w:left="0" w:right="0" w:firstLine="0"/>
        <w:jc w:val="left"/>
      </w:pPr>
      <w:r>
        <w:rPr>
          <w:i/>
          <w:iCs/>
          <w:color w:val="554CA5"/>
          <w:spacing w:val="0"/>
          <w:w w:val="100"/>
          <w:position w:val="0"/>
          <w:sz w:val="28"/>
          <w:szCs w:val="28"/>
          <w:shd w:val="clear" w:color="auto" w:fill="auto"/>
          <w:lang w:val="ru-RU" w:eastAsia="ru-RU" w:bidi="ru-RU"/>
        </w:rPr>
        <w:t>/</w:t>
      </w:r>
      <w:r>
        <w:rPr>
          <w:i/>
          <w:iCs/>
          <w:color w:val="554CA5"/>
          <w:spacing w:val="0"/>
          <w:w w:val="100"/>
          <w:position w:val="0"/>
          <w:sz w:val="28"/>
          <w:szCs w:val="28"/>
          <w:u w:val="single"/>
          <w:shd w:val="clear" w:color="auto" w:fill="auto"/>
          <w:lang w:val="ru-RU" w:eastAsia="ru-RU" w:bidi="ru-RU"/>
        </w:rPr>
        <w:t>7.</w:t>
      </w:r>
    </w:p>
    <w:p>
      <w:pPr>
        <w:pStyle w:val="Style9"/>
        <w:keepNext w:val="0"/>
        <w:keepLines w:val="0"/>
        <w:framePr w:w="2941" w:h="648" w:wrap="none" w:vAnchor="text" w:hAnchor="page" w:x="1534" w:y="21"/>
        <w:widowControl w:val="0"/>
        <w:shd w:val="clear" w:color="auto" w:fill="auto"/>
        <w:bidi w:val="0"/>
        <w:spacing w:before="0" w:after="0" w:line="290" w:lineRule="auto"/>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е-таП: ю 16@Га8.§о\.ги</w:t>
      </w:r>
    </w:p>
    <w:p>
      <w:pPr>
        <w:pStyle w:val="Style2"/>
        <w:keepNext w:val="0"/>
        <w:keepLines w:val="0"/>
        <w:framePr w:w="4007" w:h="288" w:wrap="none" w:vAnchor="text" w:hAnchor="page" w:x="1033" w:y="1560"/>
        <w:widowControl w:val="0"/>
        <w:shd w:val="clear" w:color="auto" w:fill="auto"/>
        <w:bidi w:val="0"/>
        <w:spacing w:before="0" w:after="0" w:line="240" w:lineRule="auto"/>
        <w:ind w:left="0" w:right="0" w:firstLine="0"/>
        <w:jc w:val="left"/>
        <w:rPr>
          <w:sz w:val="22"/>
          <w:szCs w:val="22"/>
        </w:rPr>
      </w:pPr>
      <w:r>
        <w:rPr>
          <w:b w:val="0"/>
          <w:bCs w:val="0"/>
          <w:spacing w:val="0"/>
          <w:w w:val="100"/>
          <w:position w:val="0"/>
          <w:sz w:val="22"/>
          <w:szCs w:val="22"/>
          <w:shd w:val="clear" w:color="auto" w:fill="auto"/>
          <w:lang w:val="ru-RU" w:eastAsia="ru-RU" w:bidi="ru-RU"/>
        </w:rPr>
        <w:t>На №от</w:t>
      </w:r>
    </w:p>
    <w:p>
      <w:pPr>
        <w:pStyle w:val="Style9"/>
        <w:keepNext w:val="0"/>
        <w:keepLines w:val="0"/>
        <w:framePr w:w="4882" w:h="3172" w:wrap="none" w:vAnchor="text" w:hAnchor="page" w:x="6210" w:y="21"/>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Мэскэу ур., 55 йорт, Казан шэйоре, 420021</w:t>
        <w:br/>
        <w:t>тел.: (843) 236-89-22. факс (843) 238-19-46</w:t>
        <w:br/>
        <w:t>е-таП: ю16@Га8.§о\'.ги</w:t>
      </w:r>
    </w:p>
    <w:p>
      <w:pPr>
        <w:pStyle w:val="Style5"/>
        <w:keepNext w:val="0"/>
        <w:keepLines w:val="0"/>
        <w:framePr w:w="4882" w:h="3172" w:wrap="none" w:vAnchor="text" w:hAnchor="page" w:x="621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Заказчику:</w:t>
      </w:r>
    </w:p>
    <w:p>
      <w:pPr>
        <w:pStyle w:val="Style5"/>
        <w:keepNext w:val="0"/>
        <w:keepLines w:val="0"/>
        <w:framePr w:w="4882" w:h="3172" w:wrap="none" w:vAnchor="text" w:hAnchor="page" w:x="621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АВТОНОМНОЕ УЧРЕЖДЕНИЕ ЗДРАВООХРАНЕНИЯ "ГОРОДСКАЯ КЛИНИЧЕСКАЯ БОЛЬНИЦА №16" ГКАЗАНИ</w:t>
      </w:r>
    </w:p>
    <w:p>
      <w:pPr>
        <w:pStyle w:val="Style5"/>
        <w:keepNext w:val="0"/>
        <w:keepLines w:val="0"/>
        <w:framePr w:w="4882" w:h="3172" w:wrap="none" w:vAnchor="text" w:hAnchor="page" w:x="621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ИНН 1658019154</w:t>
      </w:r>
    </w:p>
    <w:p>
      <w:pPr>
        <w:pStyle w:val="Style5"/>
        <w:keepNext w:val="0"/>
        <w:keepLines w:val="0"/>
        <w:framePr w:w="4882" w:h="3172" w:wrap="none" w:vAnchor="text" w:hAnchor="page" w:x="6210" w:y="21"/>
        <w:widowControl w:val="0"/>
        <w:shd w:val="clear" w:color="auto" w:fill="auto"/>
        <w:bidi w:val="0"/>
        <w:spacing w:before="0" w:after="120" w:line="240" w:lineRule="auto"/>
        <w:ind w:left="0" w:right="0" w:firstLine="0"/>
        <w:jc w:val="left"/>
      </w:pPr>
      <w:r>
        <w:rPr>
          <w:color w:val="000000"/>
          <w:spacing w:val="0"/>
          <w:w w:val="100"/>
          <w:position w:val="0"/>
          <w:u w:val="single"/>
          <w:shd w:val="clear" w:color="auto" w:fill="auto"/>
          <w:lang w:val="ru-RU" w:eastAsia="ru-RU" w:bidi="ru-RU"/>
        </w:rPr>
        <w:t>(Зозгакир. 16@Да1аг.ги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4" w:line="1" w:lineRule="exact"/>
      </w:pPr>
    </w:p>
    <w:p>
      <w:pPr>
        <w:widowControl w:val="0"/>
        <w:spacing w:line="1" w:lineRule="exact"/>
        <w:sectPr>
          <w:footnotePr>
            <w:pos w:val="pageBottom"/>
            <w:numFmt w:val="decimal"/>
            <w:numRestart w:val="continuous"/>
          </w:footnotePr>
          <w:type w:val="continuous"/>
          <w:pgSz w:w="11900" w:h="16840"/>
          <w:pgMar w:top="925" w:right="655" w:bottom="1251" w:left="946"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5260" w:right="0" w:firstLine="0"/>
        <w:jc w:val="both"/>
      </w:pPr>
      <w:r>
        <w:rPr>
          <w:color w:val="000000"/>
          <w:spacing w:val="0"/>
          <w:w w:val="100"/>
          <w:position w:val="0"/>
          <w:shd w:val="clear" w:color="auto" w:fill="auto"/>
          <w:lang w:val="ru-RU" w:eastAsia="ru-RU" w:bidi="ru-RU"/>
        </w:rPr>
        <w:t>Заявителю:</w:t>
      </w:r>
    </w:p>
    <w:p>
      <w:pPr>
        <w:pStyle w:val="Style5"/>
        <w:keepNext w:val="0"/>
        <w:keepLines w:val="0"/>
        <w:widowControl w:val="0"/>
        <w:shd w:val="clear" w:color="auto" w:fill="auto"/>
        <w:bidi w:val="0"/>
        <w:spacing w:before="0" w:after="0" w:line="240" w:lineRule="auto"/>
        <w:ind w:left="5260" w:right="0" w:firstLine="0"/>
        <w:jc w:val="both"/>
      </w:pPr>
      <w:r>
        <w:rPr>
          <w:color w:val="000000"/>
          <w:spacing w:val="0"/>
          <w:w w:val="100"/>
          <w:position w:val="0"/>
          <w:shd w:val="clear" w:color="auto" w:fill="auto"/>
          <w:lang w:val="ru-RU" w:eastAsia="ru-RU" w:bidi="ru-RU"/>
        </w:rPr>
        <w:t>ООО «ТОРГМЕД»</w:t>
      </w:r>
    </w:p>
    <w:p>
      <w:pPr>
        <w:pStyle w:val="Style5"/>
        <w:keepNext w:val="0"/>
        <w:keepLines w:val="0"/>
        <w:widowControl w:val="0"/>
        <w:shd w:val="clear" w:color="auto" w:fill="auto"/>
        <w:bidi w:val="0"/>
        <w:spacing w:before="0" w:after="320" w:line="240" w:lineRule="auto"/>
        <w:ind w:left="5260" w:right="0" w:firstLine="0"/>
        <w:jc w:val="both"/>
        <w:rPr>
          <w:sz w:val="26"/>
          <w:szCs w:val="26"/>
        </w:rPr>
      </w:pPr>
      <w:r>
        <w:rPr>
          <w:color w:val="000000"/>
          <w:spacing w:val="0"/>
          <w:w w:val="100"/>
          <w:position w:val="0"/>
          <w:sz w:val="26"/>
          <w:szCs w:val="26"/>
          <w:u w:val="single"/>
          <w:shd w:val="clear" w:color="auto" w:fill="auto"/>
          <w:lang w:val="ru-RU" w:eastAsia="ru-RU" w:bidi="ru-RU"/>
        </w:rPr>
        <w:t>1ощтес1.1ощтес1@та11.ги</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 по делу № 016/06/33-31/2024</w:t>
      </w:r>
    </w:p>
    <w:p>
      <w:pPr>
        <w:pStyle w:val="Style5"/>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о нарушении законодательства в сфере закупок товаров, работ, услуг</w:t>
        <w:br/>
        <w:t>для обеспечения государственных и муниципальных нужд</w:t>
      </w:r>
    </w:p>
    <w:p>
      <w:pPr>
        <w:pStyle w:val="Style5"/>
        <w:keepNext w:val="0"/>
        <w:keepLines w:val="0"/>
        <w:widowControl w:val="0"/>
        <w:shd w:val="clear" w:color="auto" w:fill="auto"/>
        <w:tabs>
          <w:tab w:pos="8928" w:val="left"/>
        </w:tabs>
        <w:bidi w:val="0"/>
        <w:spacing w:before="0" w:after="320" w:line="240" w:lineRule="auto"/>
        <w:ind w:left="0" w:right="0" w:firstLine="0"/>
        <w:jc w:val="both"/>
      </w:pPr>
      <w:r>
        <w:rPr>
          <w:color w:val="000000"/>
          <w:spacing w:val="0"/>
          <w:w w:val="100"/>
          <w:position w:val="0"/>
          <w:shd w:val="clear" w:color="auto" w:fill="auto"/>
          <w:lang w:val="ru-RU" w:eastAsia="ru-RU" w:bidi="ru-RU"/>
        </w:rPr>
        <w:t>15 января 2023 года</w:t>
        <w:tab/>
        <w:t>г. Казань</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5"/>
        <w:keepNext w:val="0"/>
        <w:keepLines w:val="0"/>
        <w:widowControl w:val="0"/>
        <w:shd w:val="clear" w:color="auto" w:fill="auto"/>
        <w:tabs>
          <w:tab w:pos="6063" w:val="left"/>
        </w:tabs>
        <w:bidi w:val="0"/>
        <w:spacing w:before="0" w:after="0" w:line="240" w:lineRule="auto"/>
        <w:ind w:left="0" w:right="0" w:firstLine="820"/>
        <w:jc w:val="both"/>
      </w:pPr>
      <w:r>
        <w:rPr>
          <w:color w:val="000000"/>
          <w:spacing w:val="0"/>
          <w:w w:val="100"/>
          <w:position w:val="0"/>
          <w:shd w:val="clear" w:color="auto" w:fill="auto"/>
          <w:lang w:val="ru-RU" w:eastAsia="ru-RU" w:bidi="ru-RU"/>
        </w:rPr>
        <w:t>Зам. Председателя Комиссии:</w:t>
        <w:tab/>
        <w:t>Кучеевой А.С. - начальника</w:t>
      </w:r>
    </w:p>
    <w:p>
      <w:pPr>
        <w:pStyle w:val="Style5"/>
        <w:keepNext w:val="0"/>
        <w:keepLines w:val="0"/>
        <w:widowControl w:val="0"/>
        <w:shd w:val="clear" w:color="auto" w:fill="auto"/>
        <w:bidi w:val="0"/>
        <w:spacing w:before="0" w:after="0" w:line="240" w:lineRule="auto"/>
        <w:ind w:left="6080" w:right="0" w:firstLine="0"/>
        <w:jc w:val="both"/>
      </w:pPr>
      <w:r>
        <w:rPr>
          <w:color w:val="000000"/>
          <w:spacing w:val="0"/>
          <w:w w:val="100"/>
          <w:position w:val="0"/>
          <w:shd w:val="clear" w:color="auto" w:fill="auto"/>
          <w:lang w:val="ru-RU" w:eastAsia="ru-RU" w:bidi="ru-RU"/>
        </w:rPr>
        <w:t>отдела,</w:t>
      </w:r>
    </w:p>
    <w:p>
      <w:pPr>
        <w:pStyle w:val="Style5"/>
        <w:keepNext w:val="0"/>
        <w:keepLines w:val="0"/>
        <w:widowControl w:val="0"/>
        <w:shd w:val="clear" w:color="auto" w:fill="auto"/>
        <w:tabs>
          <w:tab w:pos="6063" w:val="left"/>
        </w:tabs>
        <w:bidi w:val="0"/>
        <w:spacing w:before="0" w:after="0" w:line="240" w:lineRule="auto"/>
        <w:ind w:left="0" w:right="0" w:firstLine="820"/>
        <w:jc w:val="both"/>
      </w:pPr>
      <w:r>
        <w:rPr>
          <w:color w:val="000000"/>
          <w:spacing w:val="0"/>
          <w:w w:val="100"/>
          <w:position w:val="0"/>
          <w:shd w:val="clear" w:color="auto" w:fill="auto"/>
          <w:lang w:val="ru-RU" w:eastAsia="ru-RU" w:bidi="ru-RU"/>
        </w:rPr>
        <w:t>Членов Комиссии:</w:t>
        <w:tab/>
        <w:t>Акперовой Л.А. - главного</w:t>
      </w:r>
    </w:p>
    <w:p>
      <w:pPr>
        <w:pStyle w:val="Style5"/>
        <w:keepNext w:val="0"/>
        <w:keepLines w:val="0"/>
        <w:widowControl w:val="0"/>
        <w:shd w:val="clear" w:color="auto" w:fill="auto"/>
        <w:bidi w:val="0"/>
        <w:spacing w:before="0" w:after="0" w:line="240" w:lineRule="auto"/>
        <w:ind w:left="6080" w:right="0" w:firstLine="0"/>
        <w:jc w:val="both"/>
      </w:pPr>
      <w:r>
        <w:rPr>
          <w:color w:val="000000"/>
          <w:spacing w:val="0"/>
          <w:w w:val="100"/>
          <w:position w:val="0"/>
          <w:shd w:val="clear" w:color="auto" w:fill="auto"/>
          <w:lang w:val="ru-RU" w:eastAsia="ru-RU" w:bidi="ru-RU"/>
        </w:rPr>
        <w:t>специалиста-эксперта,</w:t>
      </w:r>
    </w:p>
    <w:p>
      <w:pPr>
        <w:pStyle w:val="Style5"/>
        <w:keepNext w:val="0"/>
        <w:keepLines w:val="0"/>
        <w:widowControl w:val="0"/>
        <w:shd w:val="clear" w:color="auto" w:fill="auto"/>
        <w:bidi w:val="0"/>
        <w:spacing w:before="0" w:after="0" w:line="240" w:lineRule="auto"/>
        <w:ind w:left="6080" w:right="0" w:firstLine="0"/>
        <w:jc w:val="both"/>
      </w:pPr>
      <w:r>
        <w:rPr>
          <w:color w:val="000000"/>
          <w:spacing w:val="0"/>
          <w:w w:val="100"/>
          <w:position w:val="0"/>
          <w:shd w:val="clear" w:color="auto" w:fill="auto"/>
          <w:lang w:val="ru-RU" w:eastAsia="ru-RU" w:bidi="ru-RU"/>
        </w:rPr>
        <w:t>Никитиной И.Г - специалиста 1 разряда,</w:t>
      </w:r>
    </w:p>
    <w:p>
      <w:pPr>
        <w:pStyle w:val="Style5"/>
        <w:keepNext w:val="0"/>
        <w:keepLines w:val="0"/>
        <w:widowControl w:val="0"/>
        <w:shd w:val="clear" w:color="auto" w:fill="auto"/>
        <w:bidi w:val="0"/>
        <w:spacing w:before="0" w:after="16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 ГАУЗ «ГОРОДСКАЯ КЛИНИЧЕСКАЯ БОЛЬНИЦА №16» Г.КАЗАНИ - Кривошапко О.В. (по доверенности), Миннегалиевой А.И. (по доверенности), представителя победителя закупки ИП Габдрахманова А.Р. - Хафизова И.И. (по доверенности), представителя заявителя ООО «ТОРГМЕД» - Шафигуллиной Л.К (по доверенности), рассмотрев посредством видеоконференции жалобы заявителя ООО «ТОРГМЕД» (вх. №14084/ж, 14083/ж, 14082/ж, 14081/ж, 14079/ж от 29.12.2023г., ЕИС от 28.12.2023г.) на действия заказчика - ГАУЗ «ГОРОДСКАЯ КЛИНИЧЕСКАЯ БОЛЬНИЦА №16» ГКАЗАНИ</w:t>
      </w:r>
    </w:p>
    <w:p>
      <w:pPr>
        <w:pStyle w:val="Style5"/>
        <w:keepNext w:val="0"/>
        <w:keepLines w:val="0"/>
        <w:widowControl w:val="0"/>
        <w:shd w:val="clear" w:color="auto" w:fill="auto"/>
        <w:tabs>
          <w:tab w:pos="7216" w:val="left"/>
        </w:tabs>
        <w:bidi w:val="0"/>
        <w:spacing w:before="0" w:after="0" w:line="240" w:lineRule="auto"/>
        <w:ind w:left="0" w:right="0" w:firstLine="0"/>
        <w:jc w:val="both"/>
      </w:pPr>
      <w:r>
        <w:rPr>
          <w:color w:val="000000"/>
          <w:spacing w:val="0"/>
          <w:w w:val="100"/>
          <w:position w:val="0"/>
          <w:shd w:val="clear" w:color="auto" w:fill="auto"/>
          <w:lang w:val="ru-RU" w:eastAsia="ru-RU" w:bidi="ru-RU"/>
        </w:rPr>
        <w:t>при проведении закупок №0311300268223000209,</w:t>
        <w:tab/>
        <w:t>№0311300268223000210,</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№0311300268223000211, №0311300268223000212, №0311300268223000213 на предмет: «Поставка изделий медицинского назначения (Эндопротез ВМП) для нужд ГАУЗ "Городская клиническая больница №16"г. Казани на 2024 год»</w:t>
      </w:r>
    </w:p>
    <w:p>
      <w:pPr>
        <w:pStyle w:val="Style5"/>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tabs>
          <w:tab w:pos="72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Извещения о проведении электронных аукционов № №0311300268223000209, №0311300268223000210, №0311300268223000211,</w:t>
        <w:tab/>
        <w:t>№0311300268223000212,</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№0311300268223000213 на предмет: «Поставка изделий медицинского назначения (Эндопротез ВМП) для нужд ГАУЗ "Городская клиническая больница №16"г. Казани на 2024 год» размещены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\у\у\у.2акирк1.%оу.ги</w:t>
      </w:r>
      <w:r>
        <w:rPr>
          <w:color w:val="000000"/>
          <w:spacing w:val="0"/>
          <w:w w:val="100"/>
          <w:position w:val="0"/>
          <w:shd w:val="clear" w:color="auto" w:fill="auto"/>
          <w:lang w:val="ru-RU" w:eastAsia="ru-RU" w:bidi="ru-RU"/>
        </w:rPr>
        <w:t xml:space="preserve"> 21.12.2023 г.</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позиции заказчика и изучения документации приходит к следующим выводам.</w:t>
      </w:r>
    </w:p>
    <w:p>
      <w:pPr>
        <w:pStyle w:val="Style5"/>
        <w:keepNext w:val="0"/>
        <w:keepLines w:val="0"/>
        <w:widowControl w:val="0"/>
        <w:numPr>
          <w:ilvl w:val="0"/>
          <w:numId w:val="1"/>
        </w:numPr>
        <w:shd w:val="clear" w:color="auto" w:fill="auto"/>
        <w:tabs>
          <w:tab w:pos="1433"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Относительно довода заявителя об отсутствии достаточного обоснования технических характеристик объекта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Заказчик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5"/>
        <w:keepNext w:val="0"/>
        <w:keepLines w:val="0"/>
        <w:widowControl w:val="0"/>
        <w:numPr>
          <w:ilvl w:val="0"/>
          <w:numId w:val="3"/>
        </w:numPr>
        <w:shd w:val="clear" w:color="auto" w:fill="auto"/>
        <w:tabs>
          <w:tab w:pos="9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сопровождение такого указания словами "или эквивалент";</w:t>
      </w:r>
    </w:p>
    <w:p>
      <w:pPr>
        <w:pStyle w:val="Style5"/>
        <w:keepNext w:val="0"/>
        <w:keepLines w:val="0"/>
        <w:widowControl w:val="0"/>
        <w:numPr>
          <w:ilvl w:val="0"/>
          <w:numId w:val="3"/>
        </w:numPr>
        <w:shd w:val="clear" w:color="auto" w:fill="auto"/>
        <w:tabs>
          <w:tab w:pos="9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5"/>
        <w:keepNext w:val="0"/>
        <w:keepLines w:val="0"/>
        <w:widowControl w:val="0"/>
        <w:numPr>
          <w:ilvl w:val="0"/>
          <w:numId w:val="3"/>
        </w:numPr>
        <w:shd w:val="clear" w:color="auto" w:fill="auto"/>
        <w:tabs>
          <w:tab w:pos="9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keepNext w:val="0"/>
        <w:keepLines w:val="0"/>
        <w:widowControl w:val="0"/>
        <w:numPr>
          <w:ilvl w:val="0"/>
          <w:numId w:val="3"/>
        </w:numPr>
        <w:shd w:val="clear" w:color="auto" w:fill="auto"/>
        <w:tabs>
          <w:tab w:pos="954" w:val="left"/>
        </w:tabs>
        <w:bidi w:val="0"/>
        <w:spacing w:before="0" w:after="0" w:line="240" w:lineRule="auto"/>
        <w:ind w:left="0" w:right="0" w:firstLine="720"/>
        <w:jc w:val="both"/>
        <w:sectPr>
          <w:footnotePr>
            <w:pos w:val="pageBottom"/>
            <w:numFmt w:val="decimal"/>
            <w:numRestart w:val="continuous"/>
          </w:footnotePr>
          <w:type w:val="continuous"/>
          <w:pgSz w:w="11900" w:h="16840"/>
          <w:pgMar w:top="1119" w:right="542" w:bottom="1137" w:left="1044" w:header="0" w:footer="3" w:gutter="0"/>
          <w:cols w:space="720"/>
          <w:noEndnote/>
          <w:rtlGutter w:val="0"/>
          <w:docGrid w:linePitch="360"/>
        </w:sectPr>
      </w:pPr>
      <w:r>
        <w:rPr>
          <w:color w:val="000000"/>
          <w:spacing w:val="0"/>
          <w:w w:val="100"/>
          <w:position w:val="0"/>
          <w:shd w:val="clear" w:color="auto" w:fill="auto"/>
          <w:lang w:val="ru-RU" w:eastAsia="ru-RU" w:bidi="ru-RU"/>
        </w:rPr>
        <w:t xml:space="preserve">)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w:t>
      </w:r>
    </w:p>
    <w:p>
      <w:pPr>
        <w:pStyle w:val="Style5"/>
        <w:keepNext w:val="0"/>
        <w:keepLines w:val="0"/>
        <w:widowControl w:val="0"/>
        <w:shd w:val="clear" w:color="auto" w:fill="auto"/>
        <w:tabs>
          <w:tab w:pos="954" w:val="left"/>
        </w:tabs>
        <w:bidi w:val="0"/>
        <w:spacing w:before="0" w:after="0" w:line="240" w:lineRule="auto"/>
        <w:ind w:left="0" w:right="0" w:firstLine="0"/>
        <w:jc w:val="both"/>
      </w:pPr>
      <w:r>
        <w:rPr>
          <w:color w:val="000000"/>
          <w:spacing w:val="0"/>
          <w:w w:val="100"/>
          <w:position w:val="0"/>
          <w:shd w:val="clear" w:color="auto" w:fill="auto"/>
          <w:lang w:val="ru-RU" w:eastAsia="ru-RU" w:bidi="ru-RU"/>
        </w:rPr>
        <w:t>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5 Постановления Правительства Российской Федерации от 8 февраля 2017 г. № 145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Действующее законодательство о контрактной системе не ограничивает право заказчика приобретать товары, работы и услуги в соответствии со своими нуждами, спецификой деятельности и обеспечивающие эффективное использование бюджетных средств.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представленным доводам Заявителя, включенные Заказчиком технические характеристики в описание объекта закупки не содержат достаточного обоснования описательных характеристик, так как отсутствуют какие-либо клинические исследования, обосновывающие неоспоримое преимущество использования товара, полностью соответствующего указанным требованиям, что в свою очередь приводит к установлению чрезмерной детализации технических требований к объекту закупки, а именно:</w:t>
      </w:r>
    </w:p>
    <w:p>
      <w:pPr>
        <w:pStyle w:val="Style5"/>
        <w:keepNext w:val="0"/>
        <w:keepLines w:val="0"/>
        <w:widowControl w:val="0"/>
        <w:numPr>
          <w:ilvl w:val="0"/>
          <w:numId w:val="3"/>
        </w:numPr>
        <w:shd w:val="clear" w:color="auto" w:fill="auto"/>
        <w:tabs>
          <w:tab w:pos="92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«1.6 Мыщелки имеют единый радиус во фронтальной плоскости: Наличие», «1.16 Уровень резекции, в области задних мыщелков: &lt;11,0 мм», «2.6 Минимальное значение диапазона внутренней/наружней ротация при установленном фиксированном вкладыше: &gt; 0 Град, °», «2.7 Максимальное значение диапазона внутренней/наружней ротация при установленном фиксированном вкладыше: &lt; 5 Град,°»</w:t>
      </w:r>
    </w:p>
    <w:p>
      <w:pPr>
        <w:pStyle w:val="Style5"/>
        <w:keepNext w:val="0"/>
        <w:keepLines w:val="0"/>
        <w:widowControl w:val="0"/>
        <w:numPr>
          <w:ilvl w:val="0"/>
          <w:numId w:val="3"/>
        </w:numPr>
        <w:shd w:val="clear" w:color="auto" w:fill="auto"/>
        <w:tabs>
          <w:tab w:pos="9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«1.7 Высокий межмыщелковый дизайн феморального компонента: Наличие»</w:t>
      </w:r>
    </w:p>
    <w:p>
      <w:pPr>
        <w:pStyle w:val="Style5"/>
        <w:keepNext w:val="0"/>
        <w:keepLines w:val="0"/>
        <w:widowControl w:val="0"/>
        <w:numPr>
          <w:ilvl w:val="0"/>
          <w:numId w:val="3"/>
        </w:numPr>
        <w:shd w:val="clear" w:color="auto" w:fill="auto"/>
        <w:tabs>
          <w:tab w:pos="92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«3.9 Минимальное значение диапазона встроенного наклон сзади: &gt; 0 Град, ° нет информации», «3.10 Максимальное значение диапазона встроенного наклон сзади: &lt; 4 Град, °»</w:t>
      </w:r>
    </w:p>
    <w:p>
      <w:pPr>
        <w:pStyle w:val="Style5"/>
        <w:keepNext w:val="0"/>
        <w:keepLines w:val="0"/>
        <w:widowControl w:val="0"/>
        <w:numPr>
          <w:ilvl w:val="0"/>
          <w:numId w:val="3"/>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«Вся рабочая поверхность ножки должна иметь покрытие. Материал покрытия должен быть гидроксиапатит», «Должна быть моноблочная, не требующая установки вкладыша», «Внешняя сторона чашки должна быть покрыта титановым напылением для улучшения врастания кости в поры поверхности чашки», «1.2.Вся проксимальная поверхность ножки должна иметь покрытие. Материал покрытия </w:t>
      </w:r>
      <w:r>
        <w:rPr>
          <w:color w:val="000000"/>
          <w:spacing w:val="0"/>
          <w:w w:val="100"/>
          <w:position w:val="0"/>
          <w:shd w:val="clear" w:color="auto" w:fill="auto"/>
          <w:lang w:val="ru-RU" w:eastAsia="ru-RU" w:bidi="ru-RU"/>
        </w:rPr>
        <w:t>должен быть в виде высокопористой плазмы, поверх которого нанесен трикальцийфосфат», «1.4. В дистальной части ножка должна быть полированная.»</w:t>
      </w:r>
    </w:p>
    <w:p>
      <w:pPr>
        <w:pStyle w:val="Style5"/>
        <w:keepNext w:val="0"/>
        <w:keepLines w:val="0"/>
        <w:widowControl w:val="0"/>
        <w:numPr>
          <w:ilvl w:val="0"/>
          <w:numId w:val="3"/>
        </w:numPr>
        <w:shd w:val="clear" w:color="auto" w:fill="auto"/>
        <w:tabs>
          <w:tab w:pos="92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«1.10. Размер шеечно-диафизарного угла у обоих из версий должен быть не менее 134 градусов», «Размер шеечно-диафизарного угла у обоих из версий должен быть не менее 135 градусов.»</w:t>
      </w:r>
    </w:p>
    <w:p>
      <w:pPr>
        <w:pStyle w:val="Style5"/>
        <w:keepNext w:val="0"/>
        <w:keepLines w:val="0"/>
        <w:widowControl w:val="0"/>
        <w:numPr>
          <w:ilvl w:val="0"/>
          <w:numId w:val="3"/>
        </w:numPr>
        <w:shd w:val="clear" w:color="auto" w:fill="auto"/>
        <w:tabs>
          <w:tab w:pos="9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«1.11. Минимальное значение расстояние между мыщелками клона: &gt; 16 мм.», «1.12. Максимальное значение между мыщелками клона: &lt; 22 мм», «Форма: полирадиусный мыщелковый с единым радиусом во всех плоскостях в углах сгибания от 0 до 90 градусов, анатомический с разделением на правый и левый варианты, без бокса: Наличие», «Возможность сохранения и замещения задней крестообразной связки, используя один тип феморального компонента: Наличие»</w:t>
      </w:r>
    </w:p>
    <w:p>
      <w:pPr>
        <w:pStyle w:val="Style5"/>
        <w:keepNext w:val="0"/>
        <w:keepLines w:val="0"/>
        <w:widowControl w:val="0"/>
        <w:numPr>
          <w:ilvl w:val="0"/>
          <w:numId w:val="3"/>
        </w:numPr>
        <w:shd w:val="clear" w:color="auto" w:fill="auto"/>
        <w:tabs>
          <w:tab w:pos="9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«Количество типоразмеров по толщине: &gt; 6 шт»</w:t>
      </w:r>
    </w:p>
    <w:p>
      <w:pPr>
        <w:pStyle w:val="Style5"/>
        <w:keepNext w:val="0"/>
        <w:keepLines w:val="0"/>
        <w:widowControl w:val="0"/>
        <w:numPr>
          <w:ilvl w:val="0"/>
          <w:numId w:val="3"/>
        </w:numPr>
        <w:shd w:val="clear" w:color="auto" w:fill="auto"/>
        <w:tabs>
          <w:tab w:pos="92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«Покрытие: Полное по всей рабочей поверхности», «Материал покрытия поверхности: Титановый плазма-спрей», «Проксимальная часть бедренного компонента имеет борозды по всему периметру: Наличие», «1.10. Дистальная часть бедренного компонента имеет продольные борозды: Наличие», «4.3. Рельеф поверхности пористый с титановыми ассиметричными частицами: Наличие», «Пористость покрытия: &gt; 60 и &lt; 55 %»,</w:t>
      </w:r>
    </w:p>
    <w:p>
      <w:pPr>
        <w:pStyle w:val="Style5"/>
        <w:keepNext w:val="0"/>
        <w:keepLines w:val="0"/>
        <w:widowControl w:val="0"/>
        <w:numPr>
          <w:ilvl w:val="0"/>
          <w:numId w:val="3"/>
        </w:numPr>
        <w:shd w:val="clear" w:color="auto" w:fill="auto"/>
        <w:tabs>
          <w:tab w:pos="9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«Минимальная длина: &lt; 95 мм», «Размер шеечно-диафизарного угла у обоих из версий должен быть не менее 135 градусов.», «2.5. Офсет головки (минимальная длина шейки): &lt; -3 мм», «2.6. Офсет головки (максимальная длина шейки): &gt; +13 </w:t>
      </w:r>
      <w:r>
        <w:rPr>
          <w:color w:val="000000"/>
          <w:spacing w:val="0"/>
          <w:w w:val="100"/>
          <w:position w:val="0"/>
          <w:shd w:val="clear" w:color="auto" w:fill="auto"/>
          <w:lang w:val="ru-RU" w:eastAsia="ru-RU" w:bidi="ru-RU"/>
        </w:rPr>
        <w:t>мм»</w:t>
      </w:r>
    </w:p>
    <w:p>
      <w:pPr>
        <w:pStyle w:val="Style5"/>
        <w:keepNext w:val="0"/>
        <w:keepLines w:val="0"/>
        <w:widowControl w:val="0"/>
        <w:numPr>
          <w:ilvl w:val="0"/>
          <w:numId w:val="3"/>
        </w:numPr>
        <w:shd w:val="clear" w:color="auto" w:fill="auto"/>
        <w:tabs>
          <w:tab w:pos="92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«Сечение: В проксимальной части - трапециевидное, в средней - овальное, в дистальной - круглое»</w:t>
      </w:r>
    </w:p>
    <w:p>
      <w:pPr>
        <w:pStyle w:val="Style5"/>
        <w:keepNext w:val="0"/>
        <w:keepLines w:val="0"/>
        <w:widowControl w:val="0"/>
        <w:numPr>
          <w:ilvl w:val="0"/>
          <w:numId w:val="3"/>
        </w:numPr>
        <w:shd w:val="clear" w:color="auto" w:fill="auto"/>
        <w:tabs>
          <w:tab w:pos="93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«Воротник: с воротником и без для каждого типоразмера»</w:t>
      </w:r>
    </w:p>
    <w:p>
      <w:pPr>
        <w:pStyle w:val="Style5"/>
        <w:keepNext w:val="0"/>
        <w:keepLines w:val="0"/>
        <w:widowControl w:val="0"/>
        <w:numPr>
          <w:ilvl w:val="0"/>
          <w:numId w:val="3"/>
        </w:numPr>
        <w:shd w:val="clear" w:color="auto" w:fill="auto"/>
        <w:tabs>
          <w:tab w:pos="9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«Шеечно-диафизарный угол: &gt; 125 и &lt;130 градус», ««Количество отверстий&gt; 3 шт.», «Диаметр отверстий, мм &gt; 6,0»</w:t>
      </w:r>
    </w:p>
    <w:p>
      <w:pPr>
        <w:pStyle w:val="Style5"/>
        <w:keepNext w:val="0"/>
        <w:keepLines w:val="0"/>
        <w:widowControl w:val="0"/>
        <w:numPr>
          <w:ilvl w:val="0"/>
          <w:numId w:val="3"/>
        </w:numPr>
        <w:shd w:val="clear" w:color="auto" w:fill="auto"/>
        <w:tabs>
          <w:tab w:pos="92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«Шероховатое высокопористое покрытие плазма-спрей титаном толщиной не менее 600 мкм. Опции: дополнительное покрытие гидроксиапатитом 80 мкм Наличие», «Материал: Ультравысокомолекулярный полиэтилен с поперечными связями. Опции: с добавлением витамина Е: Наличие».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представленным пояснениям Заказчика характеристики эндопротезов установлены в соответствии с потребностями пациентов и их анатомическими особенностями.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Заказчиком также указано, что имеется не менее трех производителей данной продукции, зарегистрированных на территории Российской Федерации, что не может являться ограничением участников закупки. Указанный диапазон </w:t>
      </w:r>
      <w:r>
        <w:rPr>
          <w:color w:val="000000"/>
          <w:spacing w:val="0"/>
          <w:w w:val="100"/>
          <w:position w:val="0"/>
          <w:shd w:val="clear" w:color="auto" w:fill="auto"/>
          <w:lang w:val="ru-RU" w:eastAsia="ru-RU" w:bidi="ru-RU"/>
        </w:rPr>
        <w:t>характеристик является стандартным для всех групп пациентов, исходя из их антропометрических и анатомических особенностей, обеспечивает восстановление точки ротации и нормальной биомеханики тазобедренного сустава.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отмечает, что заказчик установил требования к закупаемому товару, исходя из своей потребности, из назначения закупаемого товара и с учетом специфики потребностей пациентов.</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Заказчику при формировании описания объекта закупки надлежит соблюсти не только принцип обеспечения конкуренции, но и принцип эффективности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принцип эффективности закупки, в рассматриваемом случае, может быть соблюден только при закупке заказчиком товаров, которые в полной мере отвечают потребности заказчика.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действующее законодательство о контрактной системе Российской Федерации не ограничивает право заказчика самостоятельно формулировать объект закупки, исходя из своих потребностей. При описании товара заказчик вправе указывать технические, функциональные, эксплуатационные, качественные параметры объекта закупки, которые являются определяющими для него. Заказчик не лишен возможности более точно и четко указывать требования к предмету закупки, поскольку потребности заказчика являются определяющим фактором при установлении соответствующих требований.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рассматриваемом случае технические задания заказчика содержат требования к характеристикам товара, обусловленные разными анатомическими особенностями пациентов.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вышеизложенное, Комиссия приходит к выводу о необоснованности довода заявителя.</w:t>
      </w:r>
    </w:p>
    <w:p>
      <w:pPr>
        <w:pStyle w:val="Style5"/>
        <w:keepNext w:val="0"/>
        <w:keepLines w:val="0"/>
        <w:widowControl w:val="0"/>
        <w:numPr>
          <w:ilvl w:val="0"/>
          <w:numId w:val="1"/>
        </w:numPr>
        <w:shd w:val="clear" w:color="auto" w:fill="auto"/>
        <w:tabs>
          <w:tab w:pos="1433"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Относительно довода заявителя о неправомерном установлении требований к поставщику в части предоставления комплекта инструментария.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заявителя, в описании объекта закупки установлено требование: «Поставщик должен предоставить Заказчику не менее 1 (одного) комплекта инструментария на каждый вид поставляемых имплантируемых изделий для проведения оперативного вмешательства на время проведения операций с использованием поставляемых имплантируемых изделий на весь срок действия контракта», которое создает неравные условия для обеспечения ценовой конкуренции между участниками закупок.</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представленным пояснениям Заказчика, цена закупки сформирована в соответствии с техническим заданием, всеми пунктами характеристик товара, а также с требованиями и учетом доставки товара до адреса, его погрузкой и разгрузкой. Также установлено, что инструменты необходимы до конца действия </w:t>
      </w:r>
      <w:r>
        <w:rPr>
          <w:color w:val="000000"/>
          <w:spacing w:val="0"/>
          <w:w w:val="100"/>
          <w:position w:val="0"/>
          <w:shd w:val="clear" w:color="auto" w:fill="auto"/>
          <w:lang w:val="ru-RU" w:eastAsia="ru-RU" w:bidi="ru-RU"/>
        </w:rPr>
        <w:t>контракта, из этого следует, что они будут возращены исполнителю. Данное требование установлено, так как Заказчик не имеет возможности закупки инструментов под каждый вид эндопротезов.</w:t>
      </w:r>
    </w:p>
    <w:p>
      <w:pPr>
        <w:pStyle w:val="Style5"/>
        <w:keepNext w:val="0"/>
        <w:keepLines w:val="0"/>
        <w:widowControl w:val="0"/>
        <w:shd w:val="clear" w:color="auto" w:fill="auto"/>
        <w:tabs>
          <w:tab w:pos="99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проектную документацию, Комиссией Татарстанского УФАС установлено, что требование о предоставлении Поставщиком комплекта инструментария установлено по закупкам № 0311300268223000209,</w:t>
        <w:tab/>
        <w:t>№</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0311300268223000211 и №0311300268223000213, ввиду того, что для данного вида эндопротеза у Заказчика отсутствует требуемый комплект инструментов.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Доказательств, подтверждающих обоснованность своего довода заявителем на заседании Комиссии не представлено.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вышеизложенное, довод заявителя признан необоснованным.</w:t>
      </w:r>
    </w:p>
    <w:p>
      <w:pPr>
        <w:pStyle w:val="Style5"/>
        <w:keepNext w:val="0"/>
        <w:keepLines w:val="0"/>
        <w:widowControl w:val="0"/>
        <w:numPr>
          <w:ilvl w:val="0"/>
          <w:numId w:val="1"/>
        </w:numPr>
        <w:shd w:val="clear" w:color="auto" w:fill="auto"/>
        <w:tabs>
          <w:tab w:pos="1433"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Относительно довода заявителя об отсутствии описания объекта закупки, указанного в справочной информации к КТРУ.</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5"/>
        <w:keepNext w:val="0"/>
        <w:keepLines w:val="0"/>
        <w:widowControl w:val="0"/>
        <w:numPr>
          <w:ilvl w:val="0"/>
          <w:numId w:val="1"/>
        </w:numPr>
        <w:shd w:val="clear" w:color="auto" w:fill="auto"/>
        <w:tabs>
          <w:tab w:pos="14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5"/>
        <w:keepNext w:val="0"/>
        <w:keepLines w:val="0"/>
        <w:widowControl w:val="0"/>
        <w:numPr>
          <w:ilvl w:val="0"/>
          <w:numId w:val="1"/>
        </w:numPr>
        <w:shd w:val="clear" w:color="auto" w:fill="auto"/>
        <w:tabs>
          <w:tab w:pos="14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писание объекта закупки в соответствии со статьей 33 настоящего Федерального закона.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 Постановлением Правительства РФ от 08.02.2017г.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w:t>
      </w:r>
      <w:r>
        <w:rPr>
          <w:color w:val="000000"/>
          <w:spacing w:val="0"/>
          <w:w w:val="100"/>
          <w:position w:val="0"/>
          <w:shd w:val="clear" w:color="auto" w:fill="auto"/>
          <w:lang w:val="ru-RU" w:eastAsia="ru-RU" w:bidi="ru-RU"/>
        </w:rPr>
        <w:t>муниципальных нужд, правила использования каталога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7 Правил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условиям извещений Заказчиком выбран ОКПД2 32.50.22.110: Суставы искусственные, а именно 32.50.22.110-00002248 - Эндопротез коленного сустава тотальный с задней стабилизацией, 32.50.22.110-00002259 - Эндопротез тазобедренного сустава тотальный с парой трения керамика-полиэтилен, 32.50.22.110-00002257 - Эндопротез тазобедренного сустава тотальный с парой трения металл-полиэтилен.</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представленным доводам Заявителя, Заказчиком ни в одном документе на сайте ЕИС, а также в разделе информация об объекте закупки не использовано описание объекта закупки, указанного в справочной информации к КТРУ: «Стерильный имплантируемый искусственный заменитель тазобедренного сустава, поврежденного в результате заболевания (например, артрита) или травмы, состоящий соответствующих феморального (головка/стержень) и ацетабулярного компонентов с парой трения суставных поверхностей металл - полиэтилен (или сшитый полиэтилен). К изделию могут прилагаться крепежные приспособления (например, винты и болты), необходимые для имплантации. Имплантация может осуществляться с использованием или без использования костного цемента.».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представленным пояснениям Заказчика, описание объекта закупки было сформировано согласно требованиям постановления, у данного товара, не было характеристик в справочнике КТРУ. В самом каталоге данное описание относится к «описание по классификатору» и относится к значению классификатора.</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 столбце «описание товара, работы, услуг» содержится следующая информация - «Характеристики товара, работы, услуги. Сведения отсутствуют».</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установлено, что действующим законодательством не регламентировано обязательное использование описания объекта закупки, указанного в справочной информации номенклатурной классификации медицинских изделий.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Следовательно, довод заявителя признан необоснованным.</w:t>
      </w:r>
    </w:p>
    <w:p>
      <w:pPr>
        <w:pStyle w:val="Style5"/>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И 44-ФЗ «О контрактной системе в сфере закупок товаров, работ, услуг для обеспечения государственных и муниципальных нужд», Комиссия</w:t>
      </w:r>
    </w:p>
    <w:p>
      <w:pPr>
        <w:pStyle w:val="Style5"/>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РЕШИЛА:</w:t>
      </w:r>
    </w:p>
    <w:p>
      <w:pPr>
        <w:pStyle w:val="Style5"/>
        <w:keepNext w:val="0"/>
        <w:keepLines w:val="0"/>
        <w:widowControl w:val="0"/>
        <w:shd w:val="clear" w:color="auto" w:fill="auto"/>
        <w:tabs>
          <w:tab w:pos="720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жалобы заявителя ООО «ТОРГМЕД» (вх. №14084/ж, 14083/ж, 14082/ж, 14081/ж, 14079/ж от 29.12.2023г, ЕИС от 28.12.2023г.) на действия заказчика - ГАУЗ «ГОРОДСКАЯ КЛИНИЧЕСКАЯ БОЛЬНИЦА №16» Г.КАЗАНИ при проведении закупок №0311300268223000209,</w:t>
        <w:tab/>
        <w:t>№0311300268223000210,</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№0311300268223000211, №0311300268223000212, №0311300268223000213 на предмет: «Поставка изделий медицинского назначения (Эндопротез ВМП) для нужд ГАУЗ "Городская клиническая больница №16"г. Казани на 2024 год» необоснованными.</w:t>
      </w:r>
    </w:p>
    <w:p>
      <w:pPr>
        <w:pStyle w:val="Style5"/>
        <w:keepNext w:val="0"/>
        <w:keepLines w:val="0"/>
        <w:widowControl w:val="0"/>
        <w:shd w:val="clear" w:color="auto" w:fill="auto"/>
        <w:bidi w:val="0"/>
        <w:spacing w:before="0" w:after="960" w:line="240" w:lineRule="auto"/>
        <w:ind w:left="0" w:right="0" w:firstLine="70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 месяцев со дня его принятия.</w:t>
      </w:r>
    </w:p>
    <w:p>
      <w:pPr>
        <w:pStyle w:val="Style5"/>
        <w:keepNext w:val="0"/>
        <w:keepLines w:val="0"/>
        <w:widowControl w:val="0"/>
        <w:shd w:val="clear" w:color="auto" w:fill="auto"/>
        <w:tabs>
          <w:tab w:pos="6160" w:val="left"/>
          <w:tab w:pos="8327" w:val="left"/>
        </w:tabs>
        <w:bidi w:val="0"/>
        <w:spacing w:before="0" w:after="300" w:line="240" w:lineRule="auto"/>
        <w:ind w:left="0" w:right="0" w:firstLine="0"/>
        <w:jc w:val="center"/>
      </w:pPr>
      <w:r>
        <w:rPr>
          <w:color w:val="000000"/>
          <w:spacing w:val="0"/>
          <w:w w:val="100"/>
          <w:position w:val="0"/>
          <w:shd w:val="clear" w:color="auto" w:fill="auto"/>
          <w:lang w:val="ru-RU" w:eastAsia="ru-RU" w:bidi="ru-RU"/>
        </w:rPr>
        <w:t>Зам. Председателя Комиссии:</w:t>
        <w:tab/>
      </w:r>
      <w:r>
        <w:rPr>
          <w:i/>
          <w:iCs/>
          <w:color w:val="554CA5"/>
          <w:spacing w:val="0"/>
          <w:w w:val="100"/>
          <w:position w:val="0"/>
          <w:sz w:val="28"/>
          <w:szCs w:val="28"/>
          <w:shd w:val="clear" w:color="auto" w:fill="auto"/>
          <w:lang w:val="ru-RU" w:eastAsia="ru-RU" w:bidi="ru-RU"/>
        </w:rPr>
        <w:t xml:space="preserve">, </w:t>
      </w:r>
      <w:r>
        <w:rPr>
          <w:i/>
          <w:iCs/>
          <w:color w:val="5869D8"/>
          <w:spacing w:val="0"/>
          <w:w w:val="100"/>
          <w:position w:val="0"/>
          <w:sz w:val="28"/>
          <w:szCs w:val="28"/>
          <w:shd w:val="clear" w:color="auto" w:fill="auto"/>
          <w:lang w:val="ru-RU" w:eastAsia="ru-RU" w:bidi="ru-RU"/>
        </w:rPr>
        <w:t>/у у</w:t>
      </w:r>
      <w:r>
        <w:rPr>
          <w:i/>
          <w:iCs/>
          <w:color w:val="5869D8"/>
          <w:spacing w:val="0"/>
          <w:w w:val="100"/>
          <w:position w:val="0"/>
          <w:sz w:val="28"/>
          <w:szCs w:val="28"/>
          <w:shd w:val="clear" w:color="auto" w:fill="auto"/>
          <w:vertAlign w:val="superscript"/>
          <w:lang w:val="ru-RU" w:eastAsia="ru-RU" w:bidi="ru-RU"/>
        </w:rPr>
        <w:t>7</w:t>
      </w:r>
      <w:r>
        <w:rPr>
          <w:i/>
          <w:iCs/>
          <w:color w:val="5869D8"/>
          <w:spacing w:val="0"/>
          <w:w w:val="100"/>
          <w:position w:val="0"/>
          <w:sz w:val="28"/>
          <w:szCs w:val="28"/>
          <w:shd w:val="clear" w:color="auto" w:fill="auto"/>
          <w:lang w:val="ru-RU" w:eastAsia="ru-RU" w:bidi="ru-RU"/>
        </w:rPr>
        <w:t>/</w:t>
      </w:r>
      <w:r>
        <w:rPr>
          <w:color w:val="5869D8"/>
          <w:spacing w:val="0"/>
          <w:w w:val="100"/>
          <w:position w:val="0"/>
          <w:shd w:val="clear" w:color="auto" w:fill="auto"/>
          <w:lang w:val="ru-RU" w:eastAsia="ru-RU" w:bidi="ru-RU"/>
        </w:rPr>
        <w:tab/>
      </w:r>
      <w:r>
        <w:rPr>
          <w:color w:val="000000"/>
          <w:spacing w:val="0"/>
          <w:w w:val="100"/>
          <w:position w:val="0"/>
          <w:shd w:val="clear" w:color="auto" w:fill="auto"/>
          <w:lang w:val="ru-RU" w:eastAsia="ru-RU" w:bidi="ru-RU"/>
        </w:rPr>
        <w:t>А.С. Кучеева</w:t>
      </w:r>
    </w:p>
    <w:p>
      <w:pPr>
        <w:pStyle w:val="Style5"/>
        <w:keepNext w:val="0"/>
        <w:keepLines w:val="0"/>
        <w:widowControl w:val="0"/>
        <w:shd w:val="clear" w:color="auto" w:fill="auto"/>
        <w:tabs>
          <w:tab w:pos="6664" w:val="left"/>
          <w:tab w:pos="8777" w:val="left"/>
        </w:tabs>
        <w:bidi w:val="0"/>
        <w:spacing w:before="0" w:after="300" w:line="240" w:lineRule="auto"/>
        <w:ind w:left="0" w:right="0" w:firstLine="0"/>
        <w:jc w:val="center"/>
      </w:pPr>
      <w:r>
        <w:rPr>
          <w:color w:val="000000"/>
          <w:spacing w:val="0"/>
          <w:w w:val="100"/>
          <w:position w:val="0"/>
          <w:shd w:val="clear" w:color="auto" w:fill="auto"/>
          <w:lang w:val="ru-RU" w:eastAsia="ru-RU" w:bidi="ru-RU"/>
        </w:rPr>
        <w:t>Члены Комиссии:</w:t>
        <w:tab/>
      </w:r>
      <w:r>
        <w:rPr>
          <w:i/>
          <w:iCs/>
          <w:color w:val="5869D8"/>
          <w:spacing w:val="0"/>
          <w:w w:val="100"/>
          <w:position w:val="0"/>
          <w:sz w:val="28"/>
          <w:szCs w:val="28"/>
          <w:shd w:val="clear" w:color="auto" w:fill="auto"/>
          <w:lang w:val="ru-RU" w:eastAsia="ru-RU" w:bidi="ru-RU"/>
        </w:rPr>
        <w:t>/7</w:t>
      </w:r>
      <w:r>
        <w:rPr>
          <w:color w:val="5869D8"/>
          <w:spacing w:val="0"/>
          <w:w w:val="100"/>
          <w:position w:val="0"/>
          <w:shd w:val="clear" w:color="auto" w:fill="auto"/>
          <w:lang w:val="ru-RU" w:eastAsia="ru-RU" w:bidi="ru-RU"/>
        </w:rPr>
        <w:tab/>
      </w:r>
      <w:r>
        <w:rPr>
          <w:color w:val="000000"/>
          <w:spacing w:val="0"/>
          <w:w w:val="100"/>
          <w:position w:val="0"/>
          <w:shd w:val="clear" w:color="auto" w:fill="auto"/>
          <w:lang w:val="ru-RU" w:eastAsia="ru-RU" w:bidi="ru-RU"/>
        </w:rPr>
        <w:t>Акперова</w:t>
      </w:r>
    </w:p>
    <w:p>
      <w:pPr>
        <w:pStyle w:val="Style5"/>
        <w:keepNext w:val="0"/>
        <w:keepLines w:val="0"/>
        <w:widowControl w:val="0"/>
        <w:shd w:val="clear" w:color="auto" w:fill="auto"/>
        <w:bidi w:val="0"/>
        <w:spacing w:before="0" w:after="3840" w:line="240" w:lineRule="auto"/>
        <w:ind w:left="0" w:right="180" w:firstLine="0"/>
        <w:jc w:val="right"/>
      </w:pPr>
      <w:r>
        <w:rPr>
          <w:i/>
          <w:iCs/>
          <w:color w:val="2E249D"/>
          <w:spacing w:val="0"/>
          <w:w w:val="100"/>
          <w:position w:val="0"/>
          <w:sz w:val="28"/>
          <w:szCs w:val="28"/>
          <w:shd w:val="clear" w:color="auto" w:fill="auto"/>
          <w:lang w:val="ru-RU" w:eastAsia="ru-RU" w:bidi="ru-RU"/>
        </w:rPr>
        <w:t>/777/</w:t>
      </w:r>
      <w:r>
        <w:rPr>
          <w:color w:val="2E249D"/>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И.Г. Никитина</w:t>
      </w:r>
    </w:p>
    <w:p>
      <w:pPr>
        <w:pStyle w:val="Style24"/>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Исп.: Никитина И.Г.8(843)293-10-91</w:t>
      </w:r>
    </w:p>
    <w:sectPr>
      <w:headerReference w:type="default" r:id="rId11"/>
      <w:footerReference w:type="default" r:id="rId12"/>
      <w:footnotePr>
        <w:pos w:val="pageBottom"/>
        <w:numFmt w:val="decimal"/>
        <w:numRestart w:val="continuous"/>
      </w:footnotePr>
      <w:type w:val="continuous"/>
      <w:pgSz w:w="11900" w:h="16840"/>
      <w:pgMar w:top="1119" w:right="542" w:bottom="1137" w:left="1044" w:header="0" w:footer="709"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807720</wp:posOffset>
              </wp:positionH>
              <wp:positionV relativeFrom="page">
                <wp:posOffset>10231755</wp:posOffset>
              </wp:positionV>
              <wp:extent cx="564515" cy="118745"/>
              <wp:wrapNone/>
              <wp:docPr id="7" name="Shape 7"/>
              <a:graphic xmlns:a="http://schemas.openxmlformats.org/drawingml/2006/main">
                <a:graphicData uri="http://schemas.microsoft.com/office/word/2010/wordprocessingShape">
                  <wps:wsp>
                    <wps:cNvSpPr txBox="1"/>
                    <wps:spPr>
                      <a:xfrm>
                        <a:ext cx="564515" cy="11874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230458</w:t>
                          </w:r>
                        </w:p>
                      </w:txbxContent>
                    </wps:txbx>
                    <wps:bodyPr wrap="none" lIns="0" tIns="0" rIns="0" bIns="0">
                      <a:spAutoFit/>
                    </wps:bodyPr>
                  </wps:wsp>
                </a:graphicData>
              </a:graphic>
            </wp:anchor>
          </w:drawing>
        </mc:Choice>
        <mc:Fallback>
          <w:pict>
            <v:shape id="_x0000_s1033" type="#_x0000_t202" style="position:absolute;margin-left:63.600000000000001pt;margin-top:805.64999999999998pt;width:44.450000000000003pt;height:9.3499999999999996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230458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3903345</wp:posOffset>
              </wp:positionH>
              <wp:positionV relativeFrom="page">
                <wp:posOffset>381635</wp:posOffset>
              </wp:positionV>
              <wp:extent cx="66040" cy="111760"/>
              <wp:wrapNone/>
              <wp:docPr id="5" name="Shape 5"/>
              <a:graphic xmlns:a="http://schemas.openxmlformats.org/drawingml/2006/main">
                <a:graphicData uri="http://schemas.microsoft.com/office/word/2010/wordprocessingShape">
                  <wps:wsp>
                    <wps:cNvSpPr txBox="1"/>
                    <wps:spPr>
                      <a:xfrm>
                        <a:ext cx="66040" cy="11176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7.35000000000002pt;margin-top:30.050000000000001pt;width:5.2000000000000002pt;height:8.8000000000000007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3903345</wp:posOffset>
              </wp:positionH>
              <wp:positionV relativeFrom="page">
                <wp:posOffset>381635</wp:posOffset>
              </wp:positionV>
              <wp:extent cx="54610" cy="107315"/>
              <wp:wrapNone/>
              <wp:docPr id="9" name="Shape 9"/>
              <a:graphic xmlns:a="http://schemas.openxmlformats.org/drawingml/2006/main">
                <a:graphicData uri="http://schemas.microsoft.com/office/word/2010/wordprocessingShape">
                  <wps:wsp>
                    <wps:cNvSpPr txBox="1"/>
                    <wps:spPr>
                      <a:xfrm>
                        <a:ext cx="54610" cy="10731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5000000000002pt;margin-top:30.050000000000001pt;width:4.2999999999999998pt;height:8.4499999999999993pt;z-index:-188744059;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7187AE"/>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Основной текст (3)_"/>
    <w:basedOn w:val="DefaultParagraphFont"/>
    <w:link w:val="Style9"/>
    <w:rPr>
      <w:rFonts w:ascii="Times New Roman" w:eastAsia="Times New Roman" w:hAnsi="Times New Roman" w:cs="Times New Roman"/>
      <w:b w:val="0"/>
      <w:bCs w:val="0"/>
      <w:i w:val="0"/>
      <w:iCs w:val="0"/>
      <w:smallCaps w:val="0"/>
      <w:strike w:val="0"/>
      <w:color w:val="7187AE"/>
      <w:sz w:val="15"/>
      <w:szCs w:val="15"/>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5">
    <w:name w:val="Основной текст (4)_"/>
    <w:basedOn w:val="DefaultParagraphFont"/>
    <w:link w:val="Style24"/>
    <w:rPr>
      <w:rFonts w:ascii="Times New Roman" w:eastAsia="Times New Roman" w:hAnsi="Times New Roman" w:cs="Times New Roman"/>
      <w:b w:val="0"/>
      <w:bCs w:val="0"/>
      <w:i w:val="0"/>
      <w:iCs w:val="0"/>
      <w:smallCaps w:val="0"/>
      <w:strike w:val="0"/>
      <w:sz w:val="19"/>
      <w:szCs w:val="19"/>
      <w:u w:val="none"/>
    </w:rPr>
  </w:style>
  <w:style w:type="paragraph" w:customStyle="1" w:styleId="Style2">
    <w:name w:val="Основной текст (2)"/>
    <w:basedOn w:val="Normal"/>
    <w:link w:val="CharStyle3"/>
    <w:pPr>
      <w:widowControl w:val="0"/>
      <w:shd w:val="clear" w:color="auto" w:fill="auto"/>
      <w:jc w:val="center"/>
    </w:pPr>
    <w:rPr>
      <w:rFonts w:ascii="Times New Roman" w:eastAsia="Times New Roman" w:hAnsi="Times New Roman" w:cs="Times New Roman"/>
      <w:b/>
      <w:bCs/>
      <w:i w:val="0"/>
      <w:iCs w:val="0"/>
      <w:smallCaps w:val="0"/>
      <w:strike w:val="0"/>
      <w:color w:val="7187AE"/>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Основной текст (3)"/>
    <w:basedOn w:val="Normal"/>
    <w:link w:val="CharStyle10"/>
    <w:pPr>
      <w:widowControl w:val="0"/>
      <w:shd w:val="clear" w:color="auto" w:fill="auto"/>
      <w:spacing w:after="120" w:line="288" w:lineRule="auto"/>
      <w:jc w:val="center"/>
    </w:pPr>
    <w:rPr>
      <w:rFonts w:ascii="Times New Roman" w:eastAsia="Times New Roman" w:hAnsi="Times New Roman" w:cs="Times New Roman"/>
      <w:b w:val="0"/>
      <w:bCs w:val="0"/>
      <w:i w:val="0"/>
      <w:iCs w:val="0"/>
      <w:smallCaps w:val="0"/>
      <w:strike w:val="0"/>
      <w:color w:val="7187AE"/>
      <w:sz w:val="15"/>
      <w:szCs w:val="15"/>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4">
    <w:name w:val="Основной текст (4)"/>
    <w:basedOn w:val="Normal"/>
    <w:link w:val="CharStyle25"/>
    <w:pPr>
      <w:widowControl w:val="0"/>
      <w:shd w:val="clear" w:color="auto" w:fill="auto"/>
      <w:spacing w:after="300"/>
    </w:pPr>
    <w:rPr>
      <w:rFonts w:ascii="Times New Roman" w:eastAsia="Times New Roman" w:hAnsi="Times New Roman" w:cs="Times New Roman"/>
      <w:b w:val="0"/>
      <w:bCs w:val="0"/>
      <w:i w:val="0"/>
      <w:iCs w:val="0"/>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s>
</file>