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65860" distR="1108075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728980</wp:posOffset>
                </wp:positionV>
                <wp:extent cx="2578735" cy="20605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0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Волгоградской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7-я Гвардейская, д. 12, г. Волгоград, 400005</w:t>
                              <w:br/>
                              <w:t>тел. (8442) 24-22-65, факс (8442) 24-22-76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е-тай: 1о34@Га8.§оу.ги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94" w:val="left"/>
                              </w:tabs>
                              <w:bidi w:val="0"/>
                              <w:spacing w:before="0" w:line="240" w:lineRule="auto"/>
                              <w:ind w:left="0" w:right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6.01.2024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 238/24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57.399999999999999pt;width:203.05000000000001pt;height:162.25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Волгоградской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7-я Гвардейская, д. 12, г. Волгоград, 400005</w:t>
                        <w:br/>
                        <w:t>тел. (8442) 24-22-65, факс (8442) 24-22-76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е-тай: 1о34@Га8.§оу.ги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94" w:val="left"/>
                        </w:tabs>
                        <w:bidi w:val="0"/>
                        <w:spacing w:before="0" w:line="240" w:lineRule="auto"/>
                        <w:ind w:left="0" w:right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6.01.2024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>№ 238/24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"Городская клиническая больница №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им. С.З. Фишера"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пр. Ленина, д. 137, г. Волжский, Волгоградская обл., 404120 дкЫ1^8ке^а@Vо1дапе1:.^и; дЫ-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хакур@уап4ех.ги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по регулированию контрактной системы в сфере закупок Волгоградской области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Новороссийская, д. 15, Волгоград, 400066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до8xакаx@Vо1дапе1:.^и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Набережная Тараса Шевченко, д. 23А, этаж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25, пом. 1, Москва, 121151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ко@г18-1еп4ег.ги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Абдамитов А.А.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пер. Заречный, д. 1, с. Завьялово, Новосибирская обл.,633478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а4ат11ой@уап4ех.ги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делу № 034/06/105-1/2024</w:t>
        <w:br/>
        <w:t>об устранении нарушения законодательства РФ о контрактной системе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6469380</wp:posOffset>
                </wp:positionH>
                <wp:positionV relativeFrom="paragraph">
                  <wp:posOffset>12700</wp:posOffset>
                </wp:positionV>
                <wp:extent cx="758825" cy="23495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88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Волгоград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9.40000000000003pt;margin-top:1.pt;width:59.75pt;height:18.5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Волгоград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 января 2024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Литвинов Р.А. - председатель Комиссии,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Субботин А.А. - член Комиссии, главный специалист-эксперт отдела контроля государственных и муниципальных закупок, недобросовестной конкуренции и рекламы;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Панчишкина М.П. - член Комиссии, старший государственный инспектор отдела контроля государственных и муниципальных закупок, недобросовестной конкуренции и рекламы,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Абдамитова А.А. (далее - Заявитель) вх. № 12514/23 от 29.12.2023 на положения извещения о проведении электронного аукциона «Поставка изделий медицинского назначения (Набор для проведения ангиографии-лот 2)» (номер извещения 0129200005323003854) (далее - Аукцион),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4" w:right="536" w:bottom="1226" w:left="1106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position w:val="0"/>
          <w:shd w:val="clear" w:color="auto" w:fill="auto"/>
          <w:lang w:val="ru-RU" w:eastAsia="ru-RU" w:bidi="ru-RU"/>
        </w:rPr>
        <w:t>11111111III НИН 1111111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органу, Комиссии по осуществлению закупок отменить Протокол подведения итогов определения поставщика (подрядчика, исполнителя) от 10.01.2024 №ИЭА1 (далее - Протокол подведения итогов) и назначить новую дату процедуры подачи ценовых предложений, а также разместить в ЕИС информацию об отмене Протокола подведения итогов. При этом дата подачи ценовых предложений должна быть назначена не ранее чем через 4 рабочих дня со дня отмены Протокола подведения итогов.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0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 от 29.12.2023 №ЦПА1 (далее - Протокол подачи ценовых предложений);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2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возможность подачи заявки на участие в Аукционе только Заявителю и уведомить его об указанной возможности;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0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информацию о времени подачи ценовых предложений;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2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допущенных к участию в Аукционе, в том числе Заявителя, об отмене Протокола подведения итогов, Протокола подачи ценовых предложений, о дате и времени подачи ценовых предложений, а также о необходимости наличия на счетах для проведения операций по обеспечению участия в Аукционе, открытых участникам закупки, допущенным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независимой гарантии, представленной в качестве обеспечения заявки, истек.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через 4 рабочих дня со дня направления Оператором электронной площадки уведомления, указанного в пункте 2 настоящего предписания, осуществить блокирование операций по счетам для проведения операций по обеспечению участия в закупках, открытых участниками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срок действия независимой гарантии, представленной в качестве обеспечения заявки, истек.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закупок рассмотреть заявки,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по делу № 034/06/105-1/2024 о нарушении законодательства о контрактной системе от 12.01.2024.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закупок при рассмотрении заявок, поданных на участие в Аукционе, не учитывать характеристику «Расчетное давление разрыва (КВР)» позиции «Катетер баллонный для коронарной ангиопластики, стандартный. Код позиции Каталога товаров, работ, услуг для обеспечения государственных и муниципальных нужд - 32.50.13.110-00454 Катетер баллонный для коронарной ангиопластики, стандартный», предусмотренной извещением о проведении Аукциона.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исполнения пункта 4 настоящего предписания.</w:t>
      </w:r>
      <w:r>
        <w:br w:type="page"/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продолжить проведение Аукциона с последнего (минимального достигнутого) предложения о цене контракта. В случае отсутствия при продолжении Аукциона предложений о цене контракта предложение участника с номером заявки «1» считать лучшим.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органу,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по делу № 034/06/105-1/2024 о нарушении законодательства о контрактной системе от 12.01.2024.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органу, Комиссии по осуществлению закупок, Оператору электронной площадки в срок до 08.02.2024 исполнить настоящее предписание.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Доказательства исполнения предписания представить в Волгоградское УФАС России не позднее 09.02.2024.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4" w:right="825" w:bottom="1131" w:left="81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77825" distL="0" distR="0" simplePos="0" relativeHeight="125829383" behindDoc="0" locked="0" layoutInCell="1" allowOverlap="1">
                <wp:simplePos x="0" y="0"/>
                <wp:positionH relativeFrom="page">
                  <wp:posOffset>560070</wp:posOffset>
                </wp:positionH>
                <wp:positionV relativeFrom="paragraph">
                  <wp:posOffset>114300</wp:posOffset>
                </wp:positionV>
                <wp:extent cx="1700530" cy="22860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4.100000000000001pt;margin-top:9.pt;width:133.90000000000001pt;height:18.pt;z-index:-125829370;mso-wrap-distance-left:0;mso-wrap-distance-top:9.pt;mso-wrap-distance-right:0;mso-wrap-distance-bottom:29.7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325" distB="0" distL="0" distR="1786255" simplePos="0" relativeHeight="125829385" behindDoc="0" locked="0" layoutInCell="1" allowOverlap="1">
            <wp:simplePos x="0" y="0"/>
            <wp:positionH relativeFrom="page">
              <wp:posOffset>2480310</wp:posOffset>
            </wp:positionH>
            <wp:positionV relativeFrom="paragraph">
              <wp:posOffset>187325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2937510</wp:posOffset>
                </wp:positionH>
                <wp:positionV relativeFrom="paragraph">
                  <wp:posOffset>586740</wp:posOffset>
                </wp:positionV>
                <wp:extent cx="128651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31.30000000000001pt;margin-top:46.200000000000003pt;width:101.3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2894965</wp:posOffset>
                </wp:positionH>
                <wp:positionV relativeFrom="paragraph">
                  <wp:posOffset>275590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27.95000000000002pt;margin-top:21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6075" distB="139700" distL="0" distR="0" simplePos="0" relativeHeight="125829386" behindDoc="0" locked="0" layoutInCell="1" allowOverlap="1">
                <wp:simplePos x="0" y="0"/>
                <wp:positionH relativeFrom="page">
                  <wp:posOffset>5976620</wp:posOffset>
                </wp:positionH>
                <wp:positionV relativeFrom="paragraph">
                  <wp:posOffset>346075</wp:posOffset>
                </wp:positionV>
                <wp:extent cx="1029970" cy="2349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Р.А. Литвинов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0.60000000000002pt;margin-top:27.25pt;width:81.100000000000009pt;height:18.5pt;z-index:-125829367;mso-wrap-distance-left:0;mso-wrap-distance-top:27.25pt;mso-wrap-distance-right:0;mso-wrap-distance-bottom:11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Р.А. Литвинов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Литвинов Руслан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00Е089956625616472479Е43Е5ЕЕ0ВОЕ85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right="0" w:firstLine="0"/>
        <w:jc w:val="both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05.07.2023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27.09.2024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2480310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2937510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31.30000000000001pt;margin-top:36.450000000000003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2894965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27.95000000000002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Субботин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Субботин Андрей Анатольевич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2ССС8308128ВВО75ЕО6Е9Е6В13А1168Е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right="0" w:firstLine="0"/>
        <w:jc w:val="both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28.12.2023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22.03.2025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2480310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2937510</wp:posOffset>
                </wp:positionH>
                <wp:positionV relativeFrom="paragraph">
                  <wp:posOffset>462915</wp:posOffset>
                </wp:positionV>
                <wp:extent cx="1280160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31.30000000000001pt;margin-top:36.450000000000003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2894965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27.95000000000002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М.П. Панчишкина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Панчишкина Мария Павловна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4О414Е4А5ВЕ675ЕОЕ61РЗВВАВЕ9ЕВ237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right="0" w:firstLine="0"/>
        <w:jc w:val="both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28.09.2023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.12.2024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7.1 и 7.2 настоящей статьи, - влечет наложение административного штрафа на должностных лиц в размере пятидесяти тысяч рублей; на юридических лиц - пятисот тысяч рублей (ч. 7 ст. 19.5 КоАП РФ).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Исп.Панчишкина М.П.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тел.(8442) 24-22-64 вн. 034-135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5" w:bottom="1128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543560</wp:posOffset>
              </wp:positionH>
              <wp:positionV relativeFrom="page">
                <wp:posOffset>10124440</wp:posOffset>
              </wp:positionV>
              <wp:extent cx="5727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42.800000000000004pt;margin-top:797.20000000000005pt;width:45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3743960</wp:posOffset>
              </wp:positionH>
              <wp:positionV relativeFrom="page">
                <wp:posOffset>758190</wp:posOffset>
              </wp:positionV>
              <wp:extent cx="6731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294.80000000000001pt;margin-top:59.700000000000003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character" w:customStyle="1" w:styleId="CharStyle8">
    <w:name w:val="Основной текст (6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w w:val="50"/>
      <w:sz w:val="44"/>
      <w:szCs w:val="4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9">
    <w:name w:val="Основной текст (5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2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paragraph" w:customStyle="1" w:styleId="Style7">
    <w:name w:val="Основной текст (6)"/>
    <w:basedOn w:val="Normal"/>
    <w:link w:val="CharStyle8"/>
    <w:pPr>
      <w:widowControl w:val="0"/>
      <w:shd w:val="clear" w:color="auto" w:fill="auto"/>
      <w:spacing w:after="320"/>
      <w:ind w:firstLine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w w:val="50"/>
      <w:sz w:val="44"/>
      <w:szCs w:val="4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