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 «Войсковая часть 52582»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1&lt;у@с1со1п.ди^р.доу. 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«Транссервис»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мег2060@уапНех.ги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«Бизнес и геология трейдинг»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8" w:right="1166" w:bottom="621" w:left="1140" w:header="0" w:footer="3" w:gutter="0"/>
          <w:pgNumType w:start="1"/>
          <w:cols w:num="2" w:space="936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В^д^та^тд@та^^^и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8" w:after="3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3" w:right="0" w:bottom="42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№077/06/106-149/2024 о нарушении</w:t>
        <w:br/>
        <w:t>законодательства о контрактной системе</w:t>
        <w:br/>
        <w:t>12.01.2024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 «Войсковая часть 52582»: Е.В. Середа (доверенность от 11.01.2024 №11/9- 2), Д.В. Рыжкова (доверенность №11/9-1),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«Транссервис: К.С. Козловой (доверенность от 14.12.2023 №10-2023),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«Транссервис» (далее — Заявитель) на действия ГБУ «Жилищник Московский» (далее — Заказчик) при проведении электронного аукциона на право заключения государственного контракта на поставку реагента противогололедного (Закупка № 0873400003623000245)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комиссией по осуществлению закупок Заказчика нарушены нормы Закона о контрактной системе в результате признания заявки участника закупки ООО «Бизнес и геология трейдинг» соответствующей требованиям извещения, в то время как в составе заявки участника закупки ООО «Бизнес и геология трейдинг» не представлено действующее положительное заключение государственное экологической экспертизы федерального уровня на техническую документацию (технические условия, стандарты организаций) на противогололедный реагент.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27.12.2023 №ИЭА1 заявки участников закупки ООО «Бизнес и геология трейдинг», с идентификационным номером 2, и ООО «Транссервис», с идентификационным номером 1, признаны соответствующими требованиям извещения, при этом победителем аукциона признано ООО «Бизнес и геология трейдинг».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«а» п.1 ч.5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1-8 ч. 12 ст. 48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 w:line="290" w:lineRule="auto"/>
        <w:ind w:left="0" w:right="0" w:firstLine="7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 учетом положений ч.2 ст.43 Закона о контрактной системе характеристики предлагаемого участником закупки товара, соответствующие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2024-1657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ст.43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предложение по критериям, предусмотренным п.2 и (или) 3 ч.1 ст.32 Закона о контрактной системе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изменениях извещения о проведении электронного аукциона от 18.12.2023 №ИИ2 установлено: «Участник закупки руководствуясь пп. В п. 2 ч. 1 ст. 43 44-ФЗ, Федеральным законом от 23.11.1995 № 174-ФЗ в составе второй части заявки на участие в электронном аукционе в установленном законом порядке представляет документы подтверждающие соответствие товара требованиям установленным в соответствии с законодательством РФ, положительное заключение государственной экологической экспертизы федерального уровня на техническую документацию (технические условия, стандарты организаций) на предлагаемый к поставке противогололедный реагент».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3" w:right="535" w:bottom="428" w:left="110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пп. «а» п.1 ч.5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2024-1657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отклонении заявки на участие в закупке по основаниям, предусмотренным пп. 1-8 ч. 12 ст. 48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ч.12.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ст.31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9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1133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составе заявки участника закупки ООО «Бизнес и геология трейдинг» представлены сведения о наличии у необходимого к поставке реагента действующего положительного заключения государственной экологической экспертизы федерального уровня на техническую документацию (технические условия, стандарты организаций) на противогололедный реагент, ввиду чего заявка участника закупки была признана соответствующей требованиям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в составе заявки участника закупки ООО «Бизнес и геология трейдинг» содержатся сведения о наличии у реагентов, производства ООО «ТПК «Рада», действующего положительного заключения государственной экологической экспертизы федерального уровня, однако документ, а именно действующее положительное заключение государственной экологической экспертизы федерального уровня, непосредственно в составе заявки участника закупки не представлен.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в составе заявки, в том числе, представлена копия приказа Федеральной службы по надзору в сфере природопользования № 30/ГЭЭ от 14.01.2022 об утверждении заключения экспертной комиссии государственной экологической экспертизы проекта технической документации «Проект оценки воздействия на окружающую среду противогололедных материалов и противообледенительной жидкости производства ООО «ТПК РАДА», с приложением обособленных листов документа со сведениями о положительном заключении на проектные документации противогололедных материалов.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в составе извещения однозначно установлено, что составе заявки участника закупки должно быть представлено действующее положительное заключение государственной экологической экспертизы федерального уровня, что свидетельствует о необходимости предоставления данного документа в составе заявки участника закупки, а не предоставления сведений о таком документе, либо представления сведений из такого документа, фрагмента, части документа.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заявка участника закупки ООО «Бизнес и геология трейдинг» не соответствует требованиям извещения в связи с чем подлежит отклонению.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в ходе проведения внеплановой проверки Комиссией Управления также установлено, что в составе заявки участника закупки ООО «Транссервис» действующее положительное заключение государственной экологической экспертизы федерального уровня также представлено не в полном объеме, ввиду чего заявка участника закупки не соответствует требованиям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2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658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Исходя из вышеизложенного Комиссия Управления приходит к выводу, что решение комиссии по осуществлению закупок Заказчика о признания заявок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2024-1657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1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участников закупки ООО «Бизнес и геология трейдинг» и ООО «Транссервис» соответствующими требованиям извещения принято в нарушение пп. «а» п.1 ч.5 ст. 49 Закона о контрактной системе, что также свидетельствует о наличии в действиях комиссии по осуществлению закупок Заказчика признаков состава административного правонарушения, ответственность за которое предусмотрена ч.2</w:t>
        <w:tab/>
        <w:t>ст.7.30 Кодекса Российской Федерации об административных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«Транссервис» на действия комиссии по осуществлению закупок ФКУ «Войсковая часть 52582»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комиссии по осуществлению закупок Заказчика нарушение пп. «а» п.1 ч.5 ст. 49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законодательства о контрактной системе Заказчику не выдавать, поскольку по результатам проведения закупки заключен государственный контракт с реестровым номером 08734000036230002450001.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06" w:val="left"/>
        </w:tabs>
        <w:bidi w:val="0"/>
        <w:spacing w:before="0" w:after="3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95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0383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</wp:posOffset>
                </wp:positionV>
                <wp:extent cx="1850390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7.950000000000003pt;margin-top:9.pt;width:145.70000000000002pt;height:19.699999999999999pt;z-index:-125829375;mso-wrap-distance-left:0;mso-wrap-distance-top:9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5740" distB="0" distL="0" distR="1807210" simplePos="0" relativeHeight="125829380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205740</wp:posOffset>
            </wp:positionV>
            <wp:extent cx="311150" cy="365760"/>
            <wp:wrapTopAndBottom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275590</wp:posOffset>
                </wp:positionV>
                <wp:extent cx="1725295" cy="2559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55000000000001pt;margin-top:21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03835" distL="0" distR="0" simplePos="0" relativeHeight="125829381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114300</wp:posOffset>
                </wp:positionV>
                <wp:extent cx="118237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75.55000000000001pt;margin-top:9.pt;width:93.100000000000009pt;height:19.699999999999999pt;z-index:-125829372;mso-wrap-distance-left:0;mso-wrap-distance-top:9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00Е9СЕАА6ОО6САЭ20С424А9502ЕС296Е8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22.12.2022 по </w:t>
      </w: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>16.03.2024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1.15000000000003pt;margin-top:36.700000000000003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55000000000001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>44СЕО19Э689ЕВ23598ВССВЕ99Е1С6Е2С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536" w:bottom="951" w:left="1106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03.07.2024</w:t>
      </w:r>
    </w:p>
    <w:p>
      <w:pPr>
        <w:widowControl w:val="0"/>
        <w:spacing w:before="98" w:after="9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2" w:right="0" w:bottom="95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6350000</wp:posOffset>
                </wp:positionH>
                <wp:positionV relativeFrom="paragraph">
                  <wp:posOffset>12700</wp:posOffset>
                </wp:positionV>
                <wp:extent cx="871855" cy="252730"/>
                <wp:wrapSquare wrapText="bothSides"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18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Э.З. Гугава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500.pt;margin-top:1.pt;width:68.650000000000006pt;height:19.900000000000002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Э.З. Гугава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Гугава Эдуард Звиадович 8 (495)784-75-05</w:t>
      </w:r>
    </w:p>
    <w:p>
      <w:pPr>
        <w:framePr w:w="552" w:h="629" w:hSpace="2846" w:wrap="notBeside" w:vAnchor="text" w:hAnchor="text" w:x="-6" w:y="1"/>
        <w:widowControl w:val="0"/>
        <w:rPr>
          <w:sz w:val="2"/>
          <w:szCs w:val="2"/>
        </w:rPr>
      </w:pPr>
      <w:r>
        <w:drawing>
          <wp:inline>
            <wp:extent cx="353695" cy="402590"/>
            <wp:docPr id="30" name="Picutr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427990" simplePos="0" relativeHeight="125829386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paragraph">
                  <wp:posOffset>109855</wp:posOffset>
                </wp:positionV>
                <wp:extent cx="1725295" cy="25590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33.75pt;margin-top:8.6500000000000004pt;width:135.84999999999999pt;height:20.150000000000002pt;z-index:-125829367;mso-wrap-distance-left:0;mso-wrap-distance-right:33.700000000000003pt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color w:val="EAEAEA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B7B7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6281 Е5АЕВ0О2ОВЕ2АВССЕ65248493Е7С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color w:val="7B7B7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3599" w:bottom="951" w:left="1106" w:header="0" w:footer="3" w:gutter="0"/>
      <w:cols w:num="2" w:space="720" w:equalWidth="0">
        <w:col w:w="2918" w:space="893"/>
        <w:col w:w="3384"/>
      </w:cols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648970" cy="10033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57.200000000000003pt;margin-top:794.70000000000005pt;width:51.100000000000001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272415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90000000000003pt;margin-top:21.44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272415</wp:posOffset>
              </wp:positionV>
              <wp:extent cx="6731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08.90000000000003pt;margin-top:21.449999999999999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272415</wp:posOffset>
              </wp:positionV>
              <wp:extent cx="67310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8.90000000000003pt;margin-top:21.449999999999999pt;width:5.29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19999999999999pt;margin-top:37.5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0">
    <w:name w:val="Основной текст (4)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5F5F5F"/>
      <w:sz w:val="12"/>
      <w:szCs w:val="12"/>
      <w:u w:val="none"/>
    </w:rPr>
  </w:style>
  <w:style w:type="character" w:customStyle="1" w:styleId="CharStyle29">
    <w:name w:val="Основной текст (5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auto"/>
      <w:spacing w:after="90"/>
      <w:ind w:left="226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F5F5F"/>
      <w:sz w:val="12"/>
      <w:szCs w:val="12"/>
      <w:u w:val="none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