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56388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2675890" cy="309689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5890" cy="3096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Томской области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Адрес места нахождения: г.Томск, пр-кт. Ленина, 111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Почтовый адрес: 634069, г.Томск, пр-кт. Ленина, 111</w:t>
                              <w:br/>
                              <w:t>тел. (3822) 51-50-61, факс (3822) 51-29-80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е-тай: 1о70@(а8.§оу.п1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6.12,2023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АА/7965/2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6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pt;margin-top:1.pt;width:210.70000000000002pt;height:243.84999999999999pt;z-index:-125829375;mso-wrap-distance-left:9.pt;mso-wrap-distance-right:9.pt;mso-wrap-distance-bottom:44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Томской области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Адрес места нахождения: г.Томск, пр-кт. Ленина, 111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Почтовый адрес: 634069, г.Томск, пр-кт. Ленина, 111</w:t>
                        <w:br/>
                        <w:t>тел. (3822) 51-50-61, факс (3822) 51-29-80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е-тай: 1о70@(а8.§оу.п1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6.12,2023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АА/7965/2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6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270250" distB="635" distL="156845" distR="278765" simplePos="0" relativeHeight="125829380" behindDoc="0" locked="0" layoutInCell="1" allowOverlap="1">
                <wp:simplePos x="0" y="0"/>
                <wp:positionH relativeFrom="page">
                  <wp:posOffset>766445</wp:posOffset>
                </wp:positionH>
                <wp:positionV relativeFrom="paragraph">
                  <wp:posOffset>3282950</wp:posOffset>
                </wp:positionV>
                <wp:extent cx="2468880" cy="3898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68880" cy="389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 по делу № 070/06/106 1102/2023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0.350000000000001pt;margin-top:258.5pt;width:194.40000000000001pt;height:30.699999999999999pt;z-index:-125829373;mso-wrap-distance-left:12.35pt;mso-wrap-distance-top:257.5pt;mso-wrap-distance-right:21.949999999999999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 по делу № 070/06/106 1102/2023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90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ОГКУ «СМЭУ ТО» 8теу-^о@доV70.^и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0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"ДОРНАДЗОР"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90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Vа8@т^о^.^и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90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"Грин" тГо@дгт52.ги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90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«Корда-Групп» тГо@когда-дгоир.ги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160" w:line="240" w:lineRule="auto"/>
        <w:ind w:left="90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РТС-тендер ко@г18-1епдег.ги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№070/06/106-1102/2023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6557645</wp:posOffset>
                </wp:positionH>
                <wp:positionV relativeFrom="paragraph">
                  <wp:posOffset>12700</wp:posOffset>
                </wp:positionV>
                <wp:extent cx="633730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16.35000000000002pt;margin-top:1.pt;width:49.899999999999999pt;height:19.900000000000002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07.12.2023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 председателя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09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Абдурахманова А.Ф.,</w:t>
        <w:tab/>
        <w:t>- заместителя руководителя;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872" w:val="left"/>
        </w:tabs>
        <w:bidi w:val="0"/>
        <w:spacing w:before="0" w:after="280" w:line="240" w:lineRule="auto"/>
        <w:ind w:left="0" w:right="0" w:firstLine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Кобзевой М.А.,</w:t>
        <w:tab/>
        <w:t>- врио начальника отдела контроля органов власти и торгов;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872" w:val="left"/>
        </w:tabs>
        <w:bidi w:val="0"/>
        <w:spacing w:before="0" w:after="0" w:line="240" w:lineRule="auto"/>
        <w:ind w:left="0" w:right="0" w:firstLine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Лукьяненка К.К.,</w:t>
        <w:tab/>
        <w:t>- специалиста-эксперта отдела контроля органов власти 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торгов,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жалобу, поступившую от ООО «Дорнадзор» (далее - Заявитель) на действия Областного государственного казенного учреждения "Специализированное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63" w:right="493" w:bottom="1217" w:left="1096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монтажноэксплуатационное учреждение Томской области» (далее - Заказчик) при осуществлении закупки в форме электронного аукциона «Поставка комплексов фотовидеофиксации для нужд ОГКУ «СМЭУ ТО»» (извещение № 0865200000323002267),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ВКС представителя Заказчика Тайлашева С.А. (действует на основании приказа № 132 л/с от 11.08.2021), Давыдовой Е.Ю. (доверенность № 32 от 05.12.2023), представителей ОГКУ «Центр государственных закупок Томской области» (далее - ОГКУ «ЦГЗ ТО», Уполномоченное учреждение) Торгунаковой В.М. (доверенность № 15 от 31.03.2023), Истоминой З.С. (доверенность № 21 от 28.11.2023), представителей заинтересованных лиц ООО «Грин» Катушенко С.А. (доверенность № ГР-07/23), ООО «Корда Групп» Золотухина С.А. (доверенность № 58/23 от 05.12.2023), при участии представителей Заявителя Николаевой А.С. (доверенность б/н от 24.10.2023), Белякова А.В. (доверенность б/н от 05.12.2023),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Томское УФАС России обратился Заявитель с жалобой, поданной в срок и соответствующей статье 105 Закона 44-ФЗ на действия Заказчика при осуществлении закупки в форме электронного аукциона «Поставка комплексов фотовидеофиксации для нужд ОГКУ «СМЭУ ТО»» (извещение № 0865200000323002267), 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жалобы Заявителя следует: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Доводы жалобы на описание объекта закупки::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4.10 Технического задания извещения № 0865200000323002267 (далее - Техническое задание, Описание объекта закупки) предусматривает необходимость поставки нового товара, при этом в пункте 3.3.2 Технического задания предусмотрено, что для проверки соответствия предоставленного оборудования требованиям настоящего Технического задания, в ходе осмотра оборудования Заказчик вправе вскрывать упаковку, оборудование, производить визуальный осмотр, исследовать (измерять, испытывать) оборудование, осуществлять фото- и видеозапись, совершать иные, не противоречащие закону действия. Таким образом, по мнению Заявителя, поставляемый товар после проверки работоспособности в отсутствие отдельного этапа приемки работ уже не будет новым.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пункте 4.7 Технического задания не установлено количество опор, которое требуется к установлению для монтирования КФВФ, чем нарушил правила описания объекта закупки.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6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включил в один лот два разных товара - программно-аппаратный комплекс (далее - ПАК) и комплексы фотовидеофиксации (далее - КФВФ), которые должны закупаться отдельно.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Техническом задании указал характеристики, которые обосновывает пунктом 6.5.1 ГОСТ Р 57144-2016, при этом указанная норма ГОСТ Р 57144-2016 не содержит данных характеристик.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внес изменения в извещение посредством дачи разъяснений относительно положений извещения.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не установлено в извещении требование в соответствии с Постановлением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№ 2571).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Техническом задании в абзаце 2 пункта 4.10 предусмотрено требование к году выпуска поставляемого товара - не ранее 2023 года. Указанное требование ограничивает конкуренцию среди потенциальных участников закупки.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извещении не предусмотрена процедура работы КФВФ после приемки товара в отсутствие тестового канала связи.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включено понятие «система» в подпункт «а» пункта 3.14 Технического задания, что нарушает правила описания объекта закупки.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не дал разъяснений на запрос разъяснений относительно положений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письменных пояснений Заказчика следует: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доводов жалобы на описание объекта закупки:</w:t>
      </w:r>
    </w:p>
    <w:p>
      <w:pPr>
        <w:pStyle w:val="Style9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2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Проверка поставляемого оборудования не изменяет его качеств, не делает его бывшим в употреблении.</w:t>
      </w:r>
    </w:p>
    <w:p>
      <w:pPr>
        <w:pStyle w:val="Style9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3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Количество опор, требуемых к установке, не указано в Техническом задании, поскольку неизвестно какое оборудование будет поставлено.</w:t>
      </w:r>
    </w:p>
    <w:p>
      <w:pPr>
        <w:pStyle w:val="Style9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3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ПАК закупается вместе с КФВФ для обеспечения работоспособности последнего и передачи информации по защищенным каналам связи.</w:t>
      </w:r>
    </w:p>
    <w:p>
      <w:pPr>
        <w:pStyle w:val="Style9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2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Требование, установленное в соответствии с ГОСТ Р 57144-2016, соответствует законодательству.</w:t>
      </w:r>
    </w:p>
    <w:p>
      <w:pPr>
        <w:pStyle w:val="Style9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92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Ответом на запрос разъяснений не внесены изменения в извещение.</w:t>
      </w:r>
    </w:p>
    <w:p>
      <w:pPr>
        <w:pStyle w:val="Style9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3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Дополнительные требования к участникам закупки в соответствии с пунктом 18 Постановления № 2571 не требуются к установлению.</w:t>
      </w:r>
    </w:p>
    <w:p>
      <w:pPr>
        <w:pStyle w:val="Style9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3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 к году выпуска товара не ограничивает количество участников закупки.</w:t>
      </w:r>
    </w:p>
    <w:p>
      <w:pPr>
        <w:pStyle w:val="Style9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3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извещении не требуется указание на процедуру работы КФВФ после приемки товара в отсутствие тестового канала связи.</w:t>
      </w:r>
    </w:p>
    <w:p>
      <w:pPr>
        <w:pStyle w:val="Style9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2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Действия Заказчика по формированию Описания объекта закупки соответствуют законодательству.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Разъяснения на запрос разъяснений относительно положений извещения даны.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662" w:right="536" w:bottom="130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Уполномоченное учреждение в письменных пояснениях поддержало доводы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просит признать жалобу 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просит признать жалобу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проверки, Комиссия Томского УФАС России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закупки в форме электронного аукциона «Поставка комплексов фотовидеофиксации для нужд ОГКУ «СМЭУ ТО» (извещение № 0865200000323002267) размещено на Официальном сайте единой информационной системы в сфере закупок в информационно-телекоммуникационной сети Интернет (далее - Официальный сайт, ЕИС) 23.11.2023.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19 534 526,98 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 - «Поставка комплексов фотовидеофиксации для нужд ОГКУ «СМЭУ ТО».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подано 3 заявки, 1 отклонена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контракт не заключен.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Пунктом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 со статьей 33 настоящего Федерального закона.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2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7 части 1 статьи 33 Закона о контрактной системе, Заказчик в случаях, предусмотренных настоящим Федеральным законом, при описании объекта закупки должен руководствоваться следующими правилами: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  <w:rPr>
          <w:sz w:val="24"/>
          <w:szCs w:val="24"/>
        </w:rPr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6" w:right="532" w:bottom="807" w:left="1106" w:header="0" w:footer="37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Пунктом 3.3 Технического задания предусмотрено, что поставщик в течение 10 (десяти) рабочих дней с даты заключения Контракта, предоставляет по месту нахождения Заказчика два Оборудования для фиксации нарушений правил скоростного режима (Тип 1) и одно Оборудование для фиксации нарушений правил проезда перекрестка (Тип 2) в комплектности поставки завода-изготовителя с целью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2023-10029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ознакомления Заказчиком с моделью данного оборудования, его проверки соответствия требованиям настоящего Технического задания.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3.3.2 Технического задания, проверка оборудования, его соответствия требованиям настоящего Технического задания осуществляется Заказчиком в течение 3 (трех) рабочих дней со дня предоставления Поставщиком оборудования. При необходимости, для определения соответствия оборудования, Заказчик вправе привлекать независимых технических экспертов, в том числе путем назначения соответствующих экспертиз. Результаты осмотра оборудования отражаются в акте осмотра оборудования, который подписывается Сторонами или, в случае отсутствия Поставщика, Заказчиком, после завершения процедуры осмотра оборудования. Акт осмотра оборудования составляется в двух экземплярах, по одному для каждой из Сторон. Для проверки соответствия предоставленного оборудования требованиям настоящего Технического задания, в ходе осмотра оборудования Заказчик вправе вскрывать упаковку, оборудование, производить визуальный осмотр, исследовать (измерять, испытывать) оборудование, осуществлять фото- и видеозапись, совершать иные, не противоречащие закону действия.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4.10 Технического задания,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свободным от любых притязаний третьих лиц, не находящимся под запретом (арестом), в залоге.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статьи 474 ГК РФ проверка качества товара может быть предусмотрена законом, иными правовыми актами, обязательными требованиями государственных стандартов или договором купли-продажи (в данном случае договором поставки и договором о выполнении работ).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3.5 Проекта контракта извещения № 0865200000323002267 (далее - Проект контракта) предусмотрено, что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 России отмечает, что в силу положений Технического задания Заказчик имеет право исследовать оборудование. При этом, учитывая, что качество товара обычно связано с потребительскими свойствами товара, законодательством предусмотрена возможность его проверки. Следовательно, проверка качества товара и работоспособность смонтированной системы по своей правовой природе не предполагает определение товара как бывшего в употреблении.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в данной части не обоснован.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3 статьи 7 Закона о контрактной системе,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13 статьи 34 Закона о контрактной системе, в контракт включаются обязательные условия о порядке и сроках осуществления заказчиком приемки поставленного товара, выполненной работы (ее результатов).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3.6 Проекта контракта, при отсутствии у Заказчика претензий по количеству и качеству поставленного Товара Заказчик в течение 5 (пяти) дней с момента доставки Товара Поставщиком осуществляет приемку поставленного Товара, подписывает усиленной квалифицированной электронной подписью лица, имеющего право действовать от имени Заказчика, и размещает в ЕИС документ о приемке Товара, счет, счет-фактуру. После этого Товар считается переданным Поставщиком Заказчику.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соответствии с пунктом 4.1.4 Проекта контракта, а также спецификации на поставку товара поставщик обязан осуществить монтаж и наладку товара.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 России приходит к выводу о том, что Проект контракта спорного извещения содержит информацию о приемке поставленного товара, но не порядок приемки выполненной работы, в то время как Техническим заданием помимо поставки товара предусмотрено еще и выполнение работ по монтажу и наладке.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Действия Заказчика по неуказанию в Проекте контракта порядка приемки выполненных работ нарушают положения части 3 статьи 7, пункта 1 части 13 статьи 34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в данной части обоснован.</w:t>
      </w:r>
    </w:p>
    <w:p>
      <w:pPr>
        <w:pStyle w:val="Style9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2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4.7 Технического задания, монтаж и наладка Оборудования осуществляется на существующие опоры в соответствии с приложением № 1 к Техническому заданию. В случае непригодности существующих опор для размещения оборудования Поставщик устанавливает необходимые опоры за свой счет.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полагает, что неуказание количества опор для монтажа оборудования нарушает положения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пояснил, что невозможно предусмотреть точное количество опор, подлежащих установке.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 России не согласна с доводом Заказчика о невозможности определения необходимого количества установки опор для КФВФ, поскольку согласно статье 6 Закона о контрактной системе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частью 1 статьи 9 Закона о контрактной системе контрактная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система в сфере закупок предусматривает осуществление деятельности заказчика, специализированной организации и контрольного органа в сфере закупок на профессиональной основе с привлечением квалифицированных специалистов, обладающих теоретическими знаниями и навыками в сфере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Заказчик, являясь профессиональным участником соответствующего рынка, обеспечивает на регулярной основе поставку и установку КФВФ, и не может не знать о точном количестве опор, необходимых для установки КФВФ вне зависимости от вида исполнения аппаратного комплекса.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Неуказание в Техническом задании количества опор для установки КФВФ является нарушением пункта 1 части 1 статьи 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обоснован.</w:t>
      </w:r>
    </w:p>
    <w:p>
      <w:pPr>
        <w:pStyle w:val="Style9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2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1.4. В соответствии с пунктом 1 части 1 статьи 33 Закона о контрактной системе,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2 части 1 статьи 33 Закона о контрактной системе, Заказчик в случаях, предусмотренных настоящим Федеральным законом, при описании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Пункты 1, 2 Технического задания в табличной части содержат следующее описание:</w:t>
      </w:r>
    </w:p>
    <w:tbl>
      <w:tblPr>
        <w:tblOverlap w:val="never"/>
        <w:jc w:val="left"/>
        <w:tblLayout w:type="fixed"/>
      </w:tblPr>
      <w:tblGrid>
        <w:gridCol w:w="446"/>
        <w:gridCol w:w="1171"/>
        <w:gridCol w:w="4555"/>
        <w:gridCol w:w="1776"/>
        <w:gridCol w:w="1512"/>
      </w:tblGrid>
      <w:tr>
        <w:trPr>
          <w:trHeight w:val="115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№ п/ п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Наиме новани е Товара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Функциональные, технические, качественные, эксплуатационные характеристики Товара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Инструкция по заполнению характерист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Обоснова ние включени я</w:t>
            </w:r>
          </w:p>
        </w:tc>
      </w:tr>
      <w:tr>
        <w:trPr>
          <w:trHeight w:val="514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left"/>
        <w:tblLayout w:type="fixed"/>
      </w:tblPr>
      <w:tblGrid>
        <w:gridCol w:w="446"/>
        <w:gridCol w:w="1171"/>
        <w:gridCol w:w="2280"/>
        <w:gridCol w:w="2275"/>
        <w:gridCol w:w="1776"/>
        <w:gridCol w:w="1512"/>
      </w:tblGrid>
      <w:tr>
        <w:trPr>
          <w:trHeight w:val="8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ик в заявке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характер истик</w:t>
            </w:r>
          </w:p>
        </w:tc>
      </w:tr>
      <w:tr>
        <w:trPr>
          <w:trHeight w:val="336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Оборуд ование для фиксац ии наруше ний правил скорос тного режим а (Тип 1)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129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Программно</w:t>
              <w:softHyphen/>
              <w:t>аппаратный комплекс (ПАК) индустриальный шлюз безопасности с функцией криптографическо й</w:t>
              <w:tab/>
              <w:t>защиты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информации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 характеристи 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 соответст вии</w:t>
              <w:tab/>
              <w:t>с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ГОСТ Р 57144</w:t>
              <w:softHyphen/>
              <w:t>2016, п. 6.5.14</w:t>
            </w:r>
          </w:p>
        </w:tc>
      </w:tr>
      <w:tr>
        <w:trPr>
          <w:trHeight w:val="529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ПАК индустриальный шлюз безопасности обеспечивает передачу информации по проводным (РРк'гпеР)</w:t>
              <w:tab/>
              <w:t>и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беспроводным (О8М) каналам связи</w:t>
              <w:tab/>
              <w:t>в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защищенную сеть Заказчика (У1Р№1-сетъ №11228)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 характеристи 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 соответст вии</w:t>
              <w:tab/>
              <w:t>с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ГОСТ Р 57144</w:t>
              <w:softHyphen/>
              <w:t>2016, п. 6.5.14</w:t>
            </w:r>
          </w:p>
        </w:tc>
      </w:tr>
      <w:tr>
        <w:trPr>
          <w:trHeight w:val="271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Пропускная производительнос ть VР^ ПАК индустриальный шлюз безопасности, мегабит в секунду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 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 соответст вии</w:t>
              <w:tab/>
              <w:t>с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ГОСТ Р 57144</w:t>
              <w:softHyphen/>
              <w:t>2016, п. 6.5.14</w:t>
            </w:r>
          </w:p>
        </w:tc>
      </w:tr>
      <w:tr>
        <w:trPr>
          <w:trHeight w:val="143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Производительно сть межсетевого экрана ПАК индустриальный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Участник закупки указывает в заявке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 соответст вии</w:t>
              <w:tab/>
              <w:t>с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ГОСТ Р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446"/>
        <w:gridCol w:w="1171"/>
        <w:gridCol w:w="2280"/>
        <w:gridCol w:w="2275"/>
        <w:gridCol w:w="1776"/>
        <w:gridCol w:w="960"/>
        <w:gridCol w:w="552"/>
      </w:tblGrid>
      <w:tr>
        <w:trPr>
          <w:trHeight w:val="14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шлюз безопасности, мегабит в секунду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конкретное значение характеристи 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57144</w:t>
              <w:softHyphen/>
              <w:t>2016, 6.5.14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п.</w:t>
            </w:r>
          </w:p>
        </w:tc>
      </w:tr>
      <w:tr>
        <w:trPr>
          <w:trHeight w:val="2395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О8М интерфейсы ПАК индустриальный шлюз безопасности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 характеристи ки не может изменяться участником закупки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 соответст вии</w:t>
              <w:tab/>
              <w:t>с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ГОСТ Р 57144</w:t>
              <w:softHyphen/>
              <w:t>2016, п. 6.5.14</w:t>
            </w:r>
          </w:p>
        </w:tc>
      </w:tr>
      <w:tr>
        <w:trPr>
          <w:trHeight w:val="33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Оборуд ование для фиксац ии наруше ний правил проезд 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129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Программно</w:t>
              <w:softHyphen/>
              <w:t>аппаратный комплекс (ПАК) индустриальный шлюз безопасности с функцией криптографическо й</w:t>
              <w:tab/>
              <w:t>защиты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информации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 характеристи ки не может изменяться участником закупки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 соответст вии</w:t>
              <w:tab/>
              <w:t>с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ГОСТ Р 57144</w:t>
              <w:softHyphen/>
              <w:t>2016, п. 6.5.14</w:t>
            </w:r>
          </w:p>
        </w:tc>
      </w:tr>
      <w:tr>
        <w:trPr>
          <w:trHeight w:val="5294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перекр естка (Тип 2)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ПАК индустриальный шлюз безопасности обеспечивает передачу информации по проводным (РРк'гпеР)</w:t>
              <w:tab/>
              <w:t>и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беспроводным (О8М) каналам связи</w:t>
              <w:tab/>
              <w:t>в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защищенную сеть Заказчика (У1Р№1-сеть №11228)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 характеристи ки не может изменяться участником закупки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 соответст вии</w:t>
              <w:tab/>
              <w:t>с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ГОСТ Р 57144</w:t>
              <w:softHyphen/>
              <w:t>2016, п. 6.5.14</w:t>
            </w:r>
          </w:p>
        </w:tc>
      </w:tr>
      <w:tr>
        <w:trPr>
          <w:trHeight w:val="1109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Пропускная производительнос ть VР^ ПАК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Участник закупки указывает в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соответст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вии</w:t>
              <w:tab/>
              <w:t>с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left"/>
        <w:tblLayout w:type="fixed"/>
      </w:tblPr>
      <w:tblGrid>
        <w:gridCol w:w="446"/>
        <w:gridCol w:w="1171"/>
        <w:gridCol w:w="2280"/>
        <w:gridCol w:w="2275"/>
        <w:gridCol w:w="1776"/>
        <w:gridCol w:w="1512"/>
      </w:tblGrid>
      <w:tr>
        <w:trPr>
          <w:trHeight w:val="175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индустриальный шлюз безопасности, мегабит в секунду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заявке конкретное значение характеристи 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ГОСТ Р 57144</w:t>
              <w:softHyphen/>
              <w:t>2016, п. 6.5.14</w:t>
            </w:r>
          </w:p>
        </w:tc>
      </w:tr>
      <w:tr>
        <w:trPr>
          <w:trHeight w:val="271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1613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Производительно сть межсетевого экрана</w:t>
              <w:tab/>
              <w:t>ПАК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индустриальный шлюз безопасности, мегабит в секунду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Не менее 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 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 соответст вии</w:t>
              <w:tab/>
              <w:t>с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ГОСТ Р 57144</w:t>
              <w:softHyphen/>
              <w:t>2016, п. 6.5.14</w:t>
            </w:r>
          </w:p>
        </w:tc>
      </w:tr>
      <w:tr>
        <w:trPr>
          <w:trHeight w:val="239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О8М интерфейсы ПАК индустриальный шлюз безопасности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 характеристи 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 соответст вии</w:t>
              <w:tab/>
              <w:t>с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ГОСТ Р 57144</w:t>
              <w:softHyphen/>
              <w:t>2016, п. 6.5.14</w:t>
            </w:r>
          </w:p>
        </w:tc>
      </w:tr>
      <w:tr>
        <w:trPr>
          <w:trHeight w:val="3365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1291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Программно</w:t>
              <w:softHyphen/>
              <w:t>аппаратный комплекс (ПАК) индустриальный шлюз безопасности с функцией криптографическо й</w:t>
              <w:tab/>
              <w:t>защиты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информации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 характеристи 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tabs>
                <w:tab w:pos="1027" w:val="left"/>
              </w:tabs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 соответст вии</w:t>
              <w:tab/>
              <w:t>с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ГОСТ Р 57144</w:t>
              <w:softHyphen/>
              <w:t>2016, п. 6.5.14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пунктам 1 и 2 табличной части Технического задания, к закупке вместе с КФВФ предполагается программно-аппаратный комплекс (ПАК) индустриальный шлюз безопасности с функцией криптографической защиты информации.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полагает, что ПАК и КФВФ должны закупаться отдельно.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666" w:right="604" w:bottom="1244" w:left="104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6.5.14 ГОСТ Р 57144-2016, аппаратно-программное обеспечение технических средств автоматической фотовидеофиксации должно обеспечивать возможность передачи информации по проводным и/или беспроводным защищенным каналам связи, предусмотренным законодательством Российской Федерации &lt;*&gt;.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&lt;*&gt; Информация, переданная с технических средств фотовидеофиксации, хранится в хранилищах, принадлежащих подразделениям Госавтоинспекции на региональном уровне.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утверждает, что указанные в табличной части характеристики отсутствуют в пункте 6.5.14 ГОСТ Р 57144-2016.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 России отмечает, что назначение ПАК - передача информации в закрытом защищенном канале, то есть выполнения требований пункта 6.5.14 ГОСТ Р 57144-2016 Заказчик предусмотрел в Техническом задании наличие ПАК.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6.5.14 ГОСТ Р 57144-2016 предусматривает возможность передачи информации по проводным и/или беспроводным защищенным каналам связи. В Техническом задании Заказчик указал необходимости поставки программно</w:t>
        <w:softHyphen/>
        <w:t>аппаратного комплекса со шлюзом индустриальной безопасности с функцией криптографической защиты информации. Указанные положения Технического задания не противоречат пункту 6.5.14 ГОСТ Р 57144-2016, поскольку указанный пункт ГОСТ Р 57144-2016 содержит общие положения о передаче информации по защищенным каналам связи, в то время как соответствующие требования Технического задания представляют собой указание на конкретную технологию защиты информации.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не обоснован.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1.5. В соответствии счастью 4 статьи 42 Закона о контрактной системе Заказчик по собственной инициативе или в соответствии с запросом, предусмотренным частью 5 настоящей статьи, вправе внести изменения в извещение об осуществлении закупки, которые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и размещаются в единой информационной системе, не позднее чем за один рабочий день до даты окончания срока подачи заявок на участие в закупке. Изменение наименования объекта закупки и увеличение размера обеспечения заявок на участие в закупке не допускаются.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4"/>
          <w:szCs w:val="24"/>
        </w:rPr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666" w:right="536" w:bottom="816" w:left="1106" w:header="0" w:footer="38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разъяснения положений извещения об осуществлении закупки от 29.11.2023 №РИ1, Заказчик на вопрос № 10 - «Согласно п. 3.11. Технического задания к электронному аукциону: «До выполнения монтажа поставщик должен разработать схему организации движения транспорта в местах выполнения монтажа, согласовать ее с Заказчиком, обеспечить безопасность участников дорожного движения в соответствии разработанной схемой. Заказчик в течение 10 (десяти) дней с момента получения от поставщика схемы организации движения транспорта в местах выполнения монтажа согласовывает ее и направляет в адрес поставщика». Просим разъяснить Заказчика как реализуется данное обязательства в рамках заключаемого контракта с Заказчиком, не являющимся собственником автомобильных дорог, и в соответствии с какими нормативными требованиями потенциальный участник может разработать схему организации движения транспорта, также просим разъяснить Заказчика откуда у ОГКУ «СМЭУ ТО» полномочия на согласования схемы организации движения транспорта» разъяснил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2023-10029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следующее: «В соответствии с Письмом Департамента ОБДД МВД России от 18 сентября 2009 года К 13/6-5240 Методические рекомендации «Организация движения и ограждение мест производства дорожных работ в населенных пунктах», схема (проект) организации движения и ограждения места производства дорожных работ согласовывается с органами ГИБДД и утверждается заказчиком работ. Схема (проект) участка дороги, на котором проводятся дорожные работы, с указанием его геометрических параметров, имеющихся на нем искусственных сооружений, размещения временных технических средств организации дорожного движения, вида и характера проводимых работ, сроков их исполнения, наименования организации - исполнителя работ, а также фамилии и телефоны должностных лиц, ответственных за проведение работ».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указанным разъяснением извещения Заказчик внес изменения в извещение, чем нарушил законодательство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 России отмечает, что пункт 4.11 Технического задания в редакции от 27.11.2023, на который указывает Заявитель, идентичен этому же пункту Технического задания в редакции от 01.12.2023.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Заказчик не вносил изменения в Техническое задание посредством указанного ответа на запрос разъяснений.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не обоснован.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1.6. В силу части 2 статьи 31 Закона о контрактной системе,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Дополнительные требования к участникам закупки устанавливаются Постановлением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- Постановление № 2571).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18 Приложения к Постановлению № 2571 установлены дополнительные требования к участникам закупки для объекта закупки «Работы по ремонту, содержанию автомобильной дороги».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Предметом закупки является «Поставка комплексов фотовидеофиксации для нужд ОГКУ «СМЭУ ТО». В извещении не предусмотрено дополнительное требование к участникам закупки в соответствии с пунктом 18 Постановления № 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считает, что неустановление дополнительные требований к участникам закупки в соответствии с пунктом 18 Постановления № 2571 является нарушением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Томского УФАС России отмечает, работы по поставке и монтажу КФВФ не относятся к работам по содержанию автомобильных дорог не относятся, поскольку согласно подподпункту «м» подпункта 4 пункта 6 Приказ Минтранса России от 16.11.2012 № 402 «Об утверждении Классификации работ по капитальному ремонту, ремонту и содержанию автомобильных дорог» в состав работ по содержанию автомобильных дорог входят: по элементам обустройства автомобильных дорог: поддержание в чистоте и порядке,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замена и устранение повреждений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элементов весового и габаритного контроля транспортных средств, включая помещение и систему жизнеобеспечения,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специальных технических средств, работающих в автоматическом режиме и имеющих функции фото- и киносъемки, видеозаписи для фиксации нарушений правил дорожного движения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сохранности автомобильных дорог и сбора платы в счет возмещения вреда, причиняемого автомобильным дорогам общего пользования федерального значения транспортными средствами, имеющими разрешенную максимальную массу свыше 12 тонн, в том числе оплату коммунальных услуг и услуг связи, проведение поверки средств измерений, техническое обслуживание оборудования и оргтехники.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Поскольку предметом закупки является поставка и монтаж систем КФВФ, а не устранение повреждений специальных технических средств (то есть не ремонт), то, следовательно, установление дополнительных требований к участникам закупки в соответствии с пунктом 18 Постановления № 2571 не требуется.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Заявитель указывает, что Заказчиком выбраны неверные коды ОКПД2.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извещении установлен код ОКПД2 26.51.64.190 - «Приборы для измерения параметров движения и количества прочие».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 России отмечает, что несмотря на наличие в Техническом задании и в проекте контракта указания на работ по монтажу и наладке КФВФ, данные документы предусматривают также поставку КФВФ, то есть приборов для измерения параметров движения. Таким образом, код ОКПД2 соответствует объекту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не обоснован.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1.7. В соответствии с пунктом 4.10 Технического задания, установлено требование к году выпуска товара - не ранее 2023 года.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требование о годе выпуска товара является ограничивающим конкуренцию.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анализа положений Закона о закупках следует, что основной задачей законодательства о закупках является не столько обеспечение максимально широкого круга участников закупок, сколько выявление в результате закупки лица, исполнение договора которым в наибольшей степени будет отвечать целям эффективности и результативности обеспечения нужд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Томского УФАС России установила, что на участие в закупке подано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 заявки, что свидетельствует о готовности как минимум трех участников оказать услуги на условиях, установленных документацией закупки, и о возможности составить заявку на участие в закупке с учетом наличия условия о годе выпуска товара. Более того, ограничение конкуренции предполагают собой такую ситуацию при проведении торгов, когда одним хозяйствующим субъектам предоставляется преимущество перед другими. В данном случае, исходя из количества поданных заявок, видно, что извещением не предоставлено преимущество каким-либо хозяйствующим субъектам.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не обоснован.</w:t>
      </w:r>
    </w:p>
    <w:p>
      <w:pPr>
        <w:pStyle w:val="Style9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124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абзацу 3 пункта 4.12 Технического задания, с целью обеспечения функционирования КФВФ и обеспечения передачи данных сформированные комплексом фото-видеофиксации файлы, должны передаваться по тестовому каналу связи в Центр автоматической фиксации административных правонарушений Государственной инспекции безопасности дорожного движения Управления Министерства внутренних дел Российской Федерации (ЦАФАП ГИБДД УМВД России), тестовый канал связи для КФВФ (Таблица 2, №№ п/п 1, 2, 3, 4, 5) должен быть организован с применением волоконно-оптических линий связи или сотовых сетей связи (кТЕ. 30). Тестовый канал связи для КФВФ (Таблица 2, № п/п 6) должен быть организован с применением волоконно-оптических линий связи со скоростью не менее 100 Мбит/с, для обеспечения передачи видео изображения с обзорных камер на перекрестках. Тестовый канал предоставляется до момента подписания документов о приемке.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полагает, что Заказчику надлежит внести изменения в извещение, поскольку Техническое задание не предусматривает работу КФВФ после организации тестового канала связи с применением волоконно-оптической линии связи и приемки КФВФ.Заказчик пояснил, что после приемки смонтированного оборудования в силу норма законодательства Российской Федерации ОГКУ «СМЭУ ТО» несет бремя содержания и право использования КФВФ, и в дальнейшем проводится закупка на организацию линий связи.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 России отмечает, что Заявителем не представлено доказательств, из которых следовало бы, что отсутствие в Техническом задании процедуры функционирования КФВФ после приемки и монтажа товаров делают невозможным исполнение контракта, то есть, не представлено доказательств нарушения прав Заявителя как участника закупки при указанных обстоятельствах.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необоснован.</w:t>
      </w:r>
    </w:p>
    <w:p>
      <w:pPr>
        <w:pStyle w:val="Style9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124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в Техническом задании в подпункте «а» пункта 3.14 в редакции от 23.11.2023 было указано: По окончании монтажа и наладки поставщик передает заказчику документацию, включающую в себя, с указанием необходимых сокращений, схематических изображений и пояснений, следующую информацию: а) общие сведения о смонтированной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Техническое задание не содержит упоминания о какой-либо системе, что является нарушением законодательства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14"/>
          <w:footerReference w:type="default" r:id="rId15"/>
          <w:footnotePr>
            <w:pos w:val="pageBottom"/>
            <w:numFmt w:val="decimal"/>
            <w:numRestart w:val="continuous"/>
          </w:footnotePr>
          <w:pgSz w:w="11900" w:h="16840"/>
          <w:pgMar w:top="1662" w:right="534" w:bottom="1254" w:left="109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представитель Заявителя указал, что отзывает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указанный довод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не обоснован.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Согласно части 5 статьи 42 Закона о контрактной системе,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9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13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указывает, что Заказчиком не даны разъяснения относительно вопроса: «Согласно п. 3.3.3 Технического задания к электронному аукциону: «В случае несоответствия оборудования рабочим параметрам подсистемы, Поставщик обязан в течение 3 (трех) рабочих дней заменить оборудование». Из содержания технического задания участникам непонятно, о чем указано Заказчиком в данном пункте, так, в техническом задании отсутствует упоминания (за исключением данного пункта) о «подсистеме», о ее рабочих параметрах и характеристиках. Все требования к функциональным, техническим, качественным, эксплуатационным характеристикам Товара указаны заказчиком в табличной части в разделе 2 Технического задания к электронному аукциону, требования о соответствие комплекса какой-то «подсистеме» заказчика отсутствуют. В связи с чем вопрос, как участник закупки, на момент подачи заявки, проведения торгов и заключения контракта должен знать соответствует ли его оборудование «подсистеме» или нет? И если будет принято решение Заказчиком, что Товар, предложенный участником закупки, не соответствует «подсистеме» и Поставщику нужно будет заменить товар, то как это будет оформлено документально и какая норма права, в рамках действующего законодательства, предусматривает такие потребности Заказчика? В связи с изложенным полагаем, что весь подраздел 4.3 Технического задания вводит всех участников электронного аукциона в заблуждение и целенаправленно включен Заказчиком для ограничения конкуренции».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представитель Заявителя указал, что отзывает указанный довод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не обоснован.</w:t>
      </w:r>
    </w:p>
    <w:p>
      <w:pPr>
        <w:pStyle w:val="Style9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1306" w:val="left"/>
        </w:tabs>
        <w:bidi w:val="0"/>
        <w:spacing w:before="0" w:after="0" w:line="302" w:lineRule="auto"/>
        <w:ind w:left="0" w:right="0" w:firstLine="720"/>
        <w:jc w:val="both"/>
        <w:rPr>
          <w:sz w:val="24"/>
          <w:szCs w:val="24"/>
        </w:rPr>
        <w:sectPr>
          <w:headerReference w:type="default" r:id="rId16"/>
          <w:footerReference w:type="default" r:id="rId17"/>
          <w:footnotePr>
            <w:pos w:val="pageBottom"/>
            <w:numFmt w:val="decimal"/>
            <w:numRestart w:val="continuous"/>
          </w:footnotePr>
          <w:pgSz w:w="11900" w:h="16840"/>
          <w:pgMar w:top="1666" w:right="541" w:bottom="764" w:left="1106" w:header="0" w:footer="33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Заявитель в жалобе указывает, что Заказчиком не даны разъяснения относительно вопроса: согласно разъяснения положений извещения об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2023-10029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осуществлении закупки от 29.11.2023 №РИ1, Заказчик на вопрос № 3 - «В соответствии с п. 3.8 Технического задания к электронному аукциону: «Все необходимые для размещения, установки, монтажа и наладки по исполнению контракта согласования с собственниками помещений, дорог, владельцами электросетей и иными лицами осуществляются поставщиком за свой счет». В случае неполучения согласования от какого-либо из собственников, по независящим причинам от Поставщика (например отказ собственника в согласовании установки), как будет в дальнейшем исполняться контракт? Почему заказчиком до объявления закупочной процедуры не получены все необходимые согласования, которые напрямую влияют на возможность и ход выполнения обязательств по Контракту?» разъяснил следующее: «Исходя из имеющейся практики исполнения аналогичных контрактов. Исполнитель самостоятельно должен оценить свои риски, подавая заявку на участие и заключая Государственный контракт».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Несогласие с ответом на запрос разъяснений не означает, что требования положения части 5 статьи 42 Закона о контрактной нарушены. Кроме того, данный ответ на запрос разъяснений не меняет положений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не обоснован.</w:t>
      </w:r>
    </w:p>
    <w:p>
      <w:pPr>
        <w:pStyle w:val="Style9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13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указывает, что Заказчиком не даны разъяснения относительно вопроса: согласно разъяснения положений извещения об осуществлении закупки от 29.11.2023 №РИ1, Заказчик на вопрос № 6 - «Заказчиком в данном электронном аукционе, в соответствии с Постановлением Правительства Российской Федерации от 16 ноября 2015 года № 1236, установлен запрет на допуск иностранного программного обеспечения при закупках для государственных и муниципальных нужд. Изучая положения технического задания, было выявлено, что требования к самому программному обеспечению Заказчиком не установлено, информация о планируемом к поставке программном обеспечении отсутствует. В связи с чем у нас вопрос, устанавливая данное требование в закупке, какое программное обеспечение имеется ввиду, с какими характеристиками и каким функционалом? Просим Заказчика внести изменения в аукционную документацию и указать о каком конкретно программном обеспечении идет речь» разъяснил следующее: «Запрет установлен правомерно».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Несогласие с ответом на запрос разъяснений не означает, что требования положения части 5 статьи 42 Закона о контрактной нарушены. Кроме того, данный ответ на запрос разъяснений не меняет положений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не обоснован.</w:t>
      </w:r>
    </w:p>
    <w:p>
      <w:pPr>
        <w:pStyle w:val="Style9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13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Заявитель в жалобе указывает, что Заказчиком не даны разъяснения относительно вопроса: согласно разъяснения положений извещения об осуществлении закупки от 30.11.2023 №РИ1 Заказчик на вопрос № 8 - «Согласно абз. 3 п. 4.12 Технического задания к электронному аукциону: «С целью обеспечения функционирования Оборудования и обеспечения передачи данных сформированные оборудованием ... Просим Заказчика привести требования к единообразию» - разъяснил следующее: «Исполнитель не ограничен в выборе физического принципа работы тестового канала для линейных участков. В случае установки комплекса для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контроля правил проезда перекрестков требуется ВОЛС для проверки качества передачи видеоизображения».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Несогласие с ответом на запрос разъяснений не означает, что требования положения части 5 статьи 42 Закона о контрактной нарушены. Кроме того, данный ответ на запрос разъяснений не меняет положений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не обоснован.</w:t>
      </w:r>
    </w:p>
    <w:p>
      <w:pPr>
        <w:pStyle w:val="Style9"/>
        <w:keepNext w:val="0"/>
        <w:keepLines w:val="0"/>
        <w:widowControl w:val="0"/>
        <w:numPr>
          <w:ilvl w:val="1"/>
          <w:numId w:val="11"/>
        </w:numPr>
        <w:shd w:val="clear" w:color="auto" w:fill="auto"/>
        <w:tabs>
          <w:tab w:pos="12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указывает, что Заказчиком не даны разъяснения относительно вопроса: согласно разъяснения положений извещения об осуществлении закупки от 29.11.2023 №РИ1, Заказчик на вопрос № 9 - «Просим указать Заказчика, какие конкретно комплексы имеют характеристику, установленную в разделе 2 Технического задания к электронному аукциону: Бескинематическая (без движущихся частей - вентиляторов, лопастей, насосов) система поддержания микроклимата внутри корпуса прибора - наличие. При предоставлении информации о наименовании оборудования, в котором реализована данная функция, просим Заказчика документально подтвердить наличие этой характеристики в названном оборудовании» разъяснил следующее: «Заказчиком произведен анализ рынка и установлено, что существует достаточное количество комплексов ФВФ, соответствующих требованиям Технического задания».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Несогласие с ответом на запрос разъяснений не означает, что требования положения части 5 статьи 42 Закона о контрактной нарушены. Кроме того, данный ответ на запрос разъяснений не меняет положений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не обоснован.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тем, что указанные нарушения не повлияли на результаты определения поставщика предписание выдано не будет.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Принимая во внимание вышеизложенное, и руководствуясь статьей 45, статьей 49, статьей 105, статьей 106 Закона 44-ФЗ, Комиссия Томского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2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«Дорнадзор» на действия Областного государственного казенного учреждения "Специализированное монтажноэксплуатационное учреждение Томской области» при осуществлении закупки в форме электронного аукциона «Поставка комплексов фотовидеофиксации для нужд ОГКУ «СМЭУ ТО»» (извещение № 0865200000323002267) частично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2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установлено нарушение части 3 статьи 7, пункта 1 части 1 статьи 33, пункта 1 части 13 статьи 34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270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жалобы уполномоченному должностному лицу Томского УФАС России для принятия решения о возбуждении дела об административном правонарушении.</w:t>
      </w:r>
      <w:r>
        <w:br w:type="page"/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в установленном законом порядке.</w:t>
      </w:r>
      <w:bookmarkEnd w:id="4"/>
    </w:p>
    <w:p>
      <w:pPr>
        <w:widowControl w:val="0"/>
        <w:spacing w:line="1" w:lineRule="exact"/>
        <w:sectPr>
          <w:headerReference w:type="default" r:id="rId18"/>
          <w:footerReference w:type="default" r:id="rId19"/>
          <w:footnotePr>
            <w:pos w:val="pageBottom"/>
            <w:numFmt w:val="decimal"/>
            <w:numRestart w:val="continuous"/>
          </w:footnotePr>
          <w:pgSz w:w="11900" w:h="16840"/>
          <w:pgMar w:top="1666" w:right="543" w:bottom="1234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9410" distL="0" distR="0" simplePos="0" relativeHeight="125829384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88900</wp:posOffset>
                </wp:positionV>
                <wp:extent cx="1828800" cy="24701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8.100000000000001pt;margin-top:7.pt;width:144.pt;height:19.449999999999999pt;z-index:-125829369;mso-wrap-distance-left:0;mso-wrap-distance-top:7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8750" distB="0" distL="0" distR="1789430" simplePos="0" relativeHeight="125829386" behindDoc="0" locked="0" layoutInCell="1" allowOverlap="1">
            <wp:simplePos x="0" y="0"/>
            <wp:positionH relativeFrom="page">
              <wp:posOffset>2840990</wp:posOffset>
            </wp:positionH>
            <wp:positionV relativeFrom="paragraph">
              <wp:posOffset>158750</wp:posOffset>
            </wp:positionV>
            <wp:extent cx="365760" cy="536575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36576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3316605</wp:posOffset>
                </wp:positionH>
                <wp:positionV relativeFrom="paragraph">
                  <wp:posOffset>563880</wp:posOffset>
                </wp:positionV>
                <wp:extent cx="1280160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61.14999999999998pt;margin-top:44.399999999999999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3270885</wp:posOffset>
                </wp:positionH>
                <wp:positionV relativeFrom="paragraph">
                  <wp:posOffset>250190</wp:posOffset>
                </wp:positionV>
                <wp:extent cx="1725295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57.55000000000001pt;margin-top:19.69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9090" distB="133985" distL="0" distR="0" simplePos="0" relativeHeight="125829387" behindDoc="0" locked="0" layoutInCell="1" allowOverlap="1">
                <wp:simplePos x="0" y="0"/>
                <wp:positionH relativeFrom="page">
                  <wp:posOffset>5196840</wp:posOffset>
                </wp:positionH>
                <wp:positionV relativeFrom="paragraph">
                  <wp:posOffset>339090</wp:posOffset>
                </wp:positionV>
                <wp:extent cx="1532890" cy="22225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289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А.Ф. Абдурахманов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09.19999999999999pt;margin-top:26.699999999999999pt;width:120.7pt;height:17.5pt;z-index:-125829366;mso-wrap-distance-left:0;mso-wrap-distance-top:26.699999999999999pt;mso-wrap-distance-right:0;mso-wrap-distance-bottom:10.5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А.Ф. Абдурахманов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Абдурахманов Азамат Фархадович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00С755ЕЕ55В155С4ЕЕ8Е81СЕС434А4Е9Е0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20"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27.06.2023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по 19.09.2024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50" w:bottom="123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90500" distB="356235" distL="0" distR="0" simplePos="0" relativeHeight="125829389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190500</wp:posOffset>
                </wp:positionV>
                <wp:extent cx="1341120" cy="25019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58.100000000000001pt;margin-top:15.pt;width:105.60000000000001pt;height:19.699999999999999pt;z-index:-125829364;mso-wrap-distance-left:0;mso-wrap-distance-top:15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63525" distB="0" distL="0" distR="1786255" simplePos="0" relativeHeight="125829391" behindDoc="0" locked="0" layoutInCell="1" allowOverlap="1">
            <wp:simplePos x="0" y="0"/>
            <wp:positionH relativeFrom="page">
              <wp:posOffset>2849880</wp:posOffset>
            </wp:positionH>
            <wp:positionV relativeFrom="paragraph">
              <wp:posOffset>263525</wp:posOffset>
            </wp:positionV>
            <wp:extent cx="353695" cy="536575"/>
            <wp:wrapTopAndBottom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3307080</wp:posOffset>
                </wp:positionH>
                <wp:positionV relativeFrom="paragraph">
                  <wp:posOffset>662940</wp:posOffset>
                </wp:positionV>
                <wp:extent cx="1286510" cy="103505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BEBE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60.39999999999998pt;margin-top:52.200000000000003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BEBE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3264535</wp:posOffset>
                </wp:positionH>
                <wp:positionV relativeFrom="paragraph">
                  <wp:posOffset>351790</wp:posOffset>
                </wp:positionV>
                <wp:extent cx="1722120" cy="25590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57.05000000000001pt;margin-top:27.69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356235" distL="0" distR="0" simplePos="0" relativeHeight="125829392" behindDoc="0" locked="0" layoutInCell="1" allowOverlap="1">
                <wp:simplePos x="0" y="0"/>
                <wp:positionH relativeFrom="page">
                  <wp:posOffset>5196840</wp:posOffset>
                </wp:positionH>
                <wp:positionV relativeFrom="paragraph">
                  <wp:posOffset>190500</wp:posOffset>
                </wp:positionV>
                <wp:extent cx="1054735" cy="25019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М.А. Кобзева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409.19999999999999pt;margin-top:15.pt;width:83.049999999999997pt;height:19.699999999999999pt;z-index:-125829361;mso-wrap-distance-left:0;mso-wrap-distance-top:15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М.А. Кобзева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Кобзева Мария Александровна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7С9523Е362Е0О7ААЕЕ07ЕЗС0Е5ЕЕЕ18В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18.07.2023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10.10.2024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370" w:line="240" w:lineRule="auto"/>
        <w:ind w:left="0" w:right="0" w:firstLine="160"/>
        <w:jc w:val="left"/>
      </w:pPr>
      <w:r>
        <w:drawing>
          <wp:anchor distT="0" distB="0" distL="114300" distR="1903730" simplePos="0" relativeHeight="125829394" behindDoc="0" locked="0" layoutInCell="1" allowOverlap="1">
            <wp:simplePos x="0" y="0"/>
            <wp:positionH relativeFrom="page">
              <wp:posOffset>2840990</wp:posOffset>
            </wp:positionH>
            <wp:positionV relativeFrom="paragraph">
              <wp:posOffset>50800</wp:posOffset>
            </wp:positionV>
            <wp:extent cx="365760" cy="408305"/>
            <wp:wrapSquare wrapText="right"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3270885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57.55000000000001pt;margin-top:11.700000000000001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К.К, Лукьяненок</w:t>
      </w:r>
      <w:bookmarkEnd w:id="8"/>
    </w:p>
    <w:p>
      <w:pPr>
        <w:pStyle w:val="Style4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2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Лукьяненок Климентий Константинович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0ОАА683Е22890ЕАЭ641ВВВВ722499Э8301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7060" w:line="276" w:lineRule="auto"/>
        <w:ind w:right="0" w:firstLine="2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03.02.2023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по 28.04.2024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Исп.Лукьяненок К.К.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 (3822) 516-614, вн. 147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50" w:bottom="123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2023-10029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2023-10029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2023-10029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149999999999999pt;margin-top:788.7000000000000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2023-10029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2023-10029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149999999999999pt;margin-top:788.70000000000005pt;width:57.100000000000001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2023-10029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2023-10029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149999999999999pt;margin-top:788.70000000000005pt;width:57.100000000000001pt;height:7.90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2023-10029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2023-10029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57.149999999999999pt;margin-top:788.70000000000005pt;width:57.100000000000001pt;height:7.9000000000000004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2023-10029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3904615</wp:posOffset>
              </wp:positionH>
              <wp:positionV relativeFrom="page">
                <wp:posOffset>759460</wp:posOffset>
              </wp:positionV>
              <wp:extent cx="125095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50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7.44999999999999pt;margin-top:59.800000000000004pt;width:9.8499999999999996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3905885</wp:posOffset>
              </wp:positionH>
              <wp:positionV relativeFrom="page">
                <wp:posOffset>759460</wp:posOffset>
              </wp:positionV>
              <wp:extent cx="10985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8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7.55000000000001pt;margin-top:59.800000000000004pt;width:8.6500000000000004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3904615</wp:posOffset>
              </wp:positionH>
              <wp:positionV relativeFrom="page">
                <wp:posOffset>759460</wp:posOffset>
              </wp:positionV>
              <wp:extent cx="125095" cy="10668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50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7.44999999999999pt;margin-top:59.800000000000004pt;width:9.8499999999999996pt;height:8.4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3905885</wp:posOffset>
              </wp:positionH>
              <wp:positionV relativeFrom="page">
                <wp:posOffset>759460</wp:posOffset>
              </wp:positionV>
              <wp:extent cx="10985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8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7.55000000000001pt;margin-top:59.800000000000004pt;width:8.6500000000000004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3904615</wp:posOffset>
              </wp:positionH>
              <wp:positionV relativeFrom="page">
                <wp:posOffset>759460</wp:posOffset>
              </wp:positionV>
              <wp:extent cx="125095" cy="10668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50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7.44999999999999pt;margin-top:59.800000000000004pt;width:9.8499999999999996pt;height:8.4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3905885</wp:posOffset>
              </wp:positionH>
              <wp:positionV relativeFrom="page">
                <wp:posOffset>759460</wp:posOffset>
              </wp:positionV>
              <wp:extent cx="109855" cy="10350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8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307.55000000000001pt;margin-top:59.800000000000004pt;width:8.6500000000000004pt;height:8.15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3904615</wp:posOffset>
              </wp:positionH>
              <wp:positionV relativeFrom="page">
                <wp:posOffset>759460</wp:posOffset>
              </wp:positionV>
              <wp:extent cx="125095" cy="10668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50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307.44999999999999pt;margin-top:59.800000000000004pt;width:9.8499999999999996pt;height:8.4000000000000004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</w:lvl>
    <w:lvl w:ilvl="1">
      <w:start w:val="8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2"/>
      <w:numFmt w:val="decimal"/>
      <w:lvlText w:val="%1."/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7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Основной текст (4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Колонтитул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3">
    <w:name w:val="Заголовок №2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6">
    <w:name w:val="Другое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0">
    <w:name w:val="Подпись к картинке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35">
    <w:name w:val="Основной текст (2)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42">
    <w:name w:val="Основной текст (6)_"/>
    <w:basedOn w:val="DefaultParagraphFont"/>
    <w:link w:val="Style4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Основной текст (7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  <w:spacing w:after="15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Колонтитул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2">
    <w:name w:val="Заголовок №2"/>
    <w:basedOn w:val="Normal"/>
    <w:link w:val="CharStyle23"/>
    <w:pPr>
      <w:widowControl w:val="0"/>
      <w:shd w:val="clear" w:color="auto" w:fill="auto"/>
      <w:spacing w:after="140"/>
      <w:ind w:firstLine="4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5">
    <w:name w:val="Другое"/>
    <w:basedOn w:val="Normal"/>
    <w:link w:val="CharStyle2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9">
    <w:name w:val="Подпись к картинке"/>
    <w:basedOn w:val="Normal"/>
    <w:link w:val="CharStyle3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34">
    <w:name w:val="Основной текст (2)"/>
    <w:basedOn w:val="Normal"/>
    <w:link w:val="CharStyle35"/>
    <w:pPr>
      <w:widowControl w:val="0"/>
      <w:shd w:val="clear" w:color="auto" w:fill="auto"/>
      <w:ind w:left="34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41">
    <w:name w:val="Основной текст (6)"/>
    <w:basedOn w:val="Normal"/>
    <w:link w:val="CharStyle42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header" Target="header2.xml"/><Relationship Id="rId9" Type="http://schemas.openxmlformats.org/officeDocument/2006/relationships/footer" Target="footer3.xml"/><Relationship Id="rId10" Type="http://schemas.openxmlformats.org/officeDocument/2006/relationships/header" Target="header3.xml"/><Relationship Id="rId11" Type="http://schemas.openxmlformats.org/officeDocument/2006/relationships/footer" Target="footer4.xml"/><Relationship Id="rId12" Type="http://schemas.openxmlformats.org/officeDocument/2006/relationships/header" Target="header4.xml"/><Relationship Id="rId13" Type="http://schemas.openxmlformats.org/officeDocument/2006/relationships/footer" Target="footer5.xml"/><Relationship Id="rId14" Type="http://schemas.openxmlformats.org/officeDocument/2006/relationships/header" Target="header5.xml"/><Relationship Id="rId15" Type="http://schemas.openxmlformats.org/officeDocument/2006/relationships/footer" Target="footer6.xml"/><Relationship Id="rId16" Type="http://schemas.openxmlformats.org/officeDocument/2006/relationships/header" Target="header6.xml"/><Relationship Id="rId17" Type="http://schemas.openxmlformats.org/officeDocument/2006/relationships/footer" Target="footer7.xml"/><Relationship Id="rId18" Type="http://schemas.openxmlformats.org/officeDocument/2006/relationships/header" Target="header7.xml"/><Relationship Id="rId19" Type="http://schemas.openxmlformats.org/officeDocument/2006/relationships/footer" Target="footer8.xml"/><Relationship Id="rId20" Type="http://schemas.openxmlformats.org/officeDocument/2006/relationships/image" Target="media/image1.jpeg"/><Relationship Id="rId21" Type="http://schemas.openxmlformats.org/officeDocument/2006/relationships/image" Target="media/image1.jpeg" TargetMode="External"/><Relationship Id="rId22" Type="http://schemas.openxmlformats.org/officeDocument/2006/relationships/image" Target="media/image2.jpeg"/><Relationship Id="rId23" Type="http://schemas.openxmlformats.org/officeDocument/2006/relationships/image" Target="media/image2.jpeg" TargetMode="External"/><Relationship Id="rId24" Type="http://schemas.openxmlformats.org/officeDocument/2006/relationships/image" Target="media/image3.jpeg"/><Relationship Id="rId25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05.04.2013 N 44-ФЗ(ред. от 14.11.2023)"О контрактной системе в сфере закупок товаров, работ, услуг для обеспечения государственных и муниципальных нужд"</dc:title>
  <dc:subject/>
  <dc:creator/>
  <cp:keywords/>
</cp:coreProperties>
</file>