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12"/>
        <w:keepNext w:val="0"/>
        <w:keepLines w:val="0"/>
        <w:widowControl w:val="0"/>
        <w:shd w:val="clear" w:color="auto" w:fill="auto"/>
        <w:bidi w:val="0"/>
        <w:spacing w:before="0" w:after="0" w:line="240" w:lineRule="auto"/>
        <w:ind w:left="380" w:right="0" w:firstLine="0"/>
        <w:jc w:val="left"/>
      </w:pPr>
      <w:r>
        <mc:AlternateContent>
          <mc:Choice Requires="wps">
            <w:drawing>
              <wp:anchor distT="0" distB="0" distL="63500" distR="63500" simplePos="0" relativeHeight="125829378" behindDoc="0" locked="0" layoutInCell="1" allowOverlap="1">
                <wp:simplePos x="0" y="0"/>
                <wp:positionH relativeFrom="page">
                  <wp:posOffset>922020</wp:posOffset>
                </wp:positionH>
                <wp:positionV relativeFrom="paragraph">
                  <wp:posOffset>114300</wp:posOffset>
                </wp:positionV>
                <wp:extent cx="2249170" cy="1731010"/>
                <wp:wrapSquare wrapText="bothSides"/>
                <wp:docPr id="1" name="Shape 1"/>
                <a:graphic xmlns:a="http://schemas.openxmlformats.org/drawingml/2006/main">
                  <a:graphicData uri="http://schemas.microsoft.com/office/word/2010/wordprocessingShape">
                    <wps:wsp>
                      <wps:cNvSpPr txBox="1"/>
                      <wps:spPr>
                        <a:xfrm>
                          <a:ext cx="2249170" cy="1731010"/>
                        </a:xfrm>
                        <a:prstGeom prst="rect"/>
                        <a:noFill/>
                      </wps:spPr>
                      <wps:txbx>
                        <w:txbxContent>
                          <w:p>
                            <w:pPr>
                              <w:pStyle w:val="Style2"/>
                              <w:keepNext w:val="0"/>
                              <w:keepLines w:val="0"/>
                              <w:widowControl w:val="0"/>
                              <w:shd w:val="clear" w:color="auto" w:fill="auto"/>
                              <w:bidi w:val="0"/>
                              <w:spacing w:before="0" w:after="120" w:line="276" w:lineRule="auto"/>
                              <w:ind w:left="0" w:right="0" w:firstLine="0"/>
                              <w:jc w:val="center"/>
                              <w:rPr>
                                <w:sz w:val="18"/>
                                <w:szCs w:val="18"/>
                              </w:rPr>
                            </w:pPr>
                            <w:r>
                              <w:rPr>
                                <w:color w:val="4561A3"/>
                                <w:spacing w:val="0"/>
                                <w:w w:val="100"/>
                                <w:position w:val="0"/>
                                <w:sz w:val="18"/>
                                <w:szCs w:val="18"/>
                                <w:shd w:val="clear" w:color="auto" w:fill="auto"/>
                                <w:lang w:val="ru-RU" w:eastAsia="ru-RU" w:bidi="ru-RU"/>
                              </w:rPr>
                              <w:t>ФЕДЕРАЛЬНАЯ</w:t>
                              <w:br/>
                              <w:t>АНТИМОНОПОЛЬНАЯ СЛУЖБА</w:t>
                            </w:r>
                          </w:p>
                          <w:p>
                            <w:pPr>
                              <w:pStyle w:val="Style2"/>
                              <w:keepNext w:val="0"/>
                              <w:keepLines w:val="0"/>
                              <w:widowControl w:val="0"/>
                              <w:shd w:val="clear" w:color="auto" w:fill="auto"/>
                              <w:bidi w:val="0"/>
                              <w:spacing w:before="0" w:line="240" w:lineRule="auto"/>
                              <w:ind w:left="0" w:right="0" w:firstLine="0"/>
                              <w:jc w:val="center"/>
                              <w:rPr>
                                <w:sz w:val="19"/>
                                <w:szCs w:val="19"/>
                              </w:rPr>
                            </w:pPr>
                            <w:r>
                              <w:rPr>
                                <w:b/>
                                <w:bCs/>
                                <w:color w:val="4561A3"/>
                                <w:spacing w:val="0"/>
                                <w:w w:val="100"/>
                                <w:position w:val="0"/>
                                <w:sz w:val="19"/>
                                <w:szCs w:val="19"/>
                                <w:shd w:val="clear" w:color="auto" w:fill="auto"/>
                                <w:lang w:val="ru-RU" w:eastAsia="ru-RU" w:bidi="ru-RU"/>
                              </w:rPr>
                              <w:t>УПРАВЛЕНИЕ</w:t>
                              <w:br/>
                              <w:t>Федеральной антимонопольной службы</w:t>
                              <w:br/>
                              <w:t>по Ростовской области</w:t>
                            </w:r>
                          </w:p>
                          <w:p>
                            <w:pPr>
                              <w:pStyle w:val="Style6"/>
                              <w:keepNext w:val="0"/>
                              <w:keepLines w:val="0"/>
                              <w:widowControl w:val="0"/>
                              <w:shd w:val="clear" w:color="auto" w:fill="auto"/>
                              <w:bidi w:val="0"/>
                              <w:spacing w:before="0"/>
                              <w:ind w:left="0" w:right="0" w:firstLine="0"/>
                              <w:jc w:val="center"/>
                            </w:pPr>
                            <w:r>
                              <w:rPr>
                                <w:spacing w:val="0"/>
                                <w:w w:val="100"/>
                                <w:position w:val="0"/>
                                <w:shd w:val="clear" w:color="auto" w:fill="auto"/>
                                <w:lang w:val="ru-RU" w:eastAsia="ru-RU" w:bidi="ru-RU"/>
                              </w:rPr>
                              <w:t>пр. Ворошиловский, 2/2, офис 403</w:t>
                              <w:br/>
                              <w:t>г. Ростов-на-Дону, 344006</w:t>
                              <w:br/>
                              <w:t>тел. (863) 263-31-04, факс (863) 240-99-59</w:t>
                              <w:br/>
                              <w:t>е-тай: 1о61@Га5.§оу.П1</w:t>
                            </w:r>
                          </w:p>
                          <w:p>
                            <w:pPr>
                              <w:pStyle w:val="Style8"/>
                              <w:keepNext w:val="0"/>
                              <w:keepLines w:val="0"/>
                              <w:widowControl w:val="0"/>
                              <w:shd w:val="clear" w:color="auto" w:fill="auto"/>
                              <w:tabs>
                                <w:tab w:pos="1642" w:val="left"/>
                              </w:tabs>
                              <w:bidi w:val="0"/>
                              <w:spacing w:before="0"/>
                              <w:ind w:left="0" w:right="0"/>
                              <w:jc w:val="both"/>
                            </w:pPr>
                            <w:r>
                              <w:rPr>
                                <w:spacing w:val="0"/>
                                <w:w w:val="100"/>
                                <w:position w:val="0"/>
                                <w:shd w:val="clear" w:color="auto" w:fill="auto"/>
                                <w:lang w:val="ru-RU" w:eastAsia="ru-RU" w:bidi="ru-RU"/>
                              </w:rPr>
                              <w:t xml:space="preserve">штамп </w:t>
                            </w:r>
                            <w:r>
                              <w:fldChar w:fldCharType="begin"/>
                            </w:r>
                            <w:r>
                              <w:rPr/>
                              <w:instrText> HYPERLINK "file://f207ca94-a13c-4ba0-b72d-f018c9eed8f1/" </w:instrText>
                            </w:r>
                            <w:r>
                              <w:fldChar w:fldCharType="separate"/>
                            </w:r>
                            <w:r>
                              <w:rPr>
                                <w:spacing w:val="0"/>
                                <w:w w:val="100"/>
                                <w:position w:val="0"/>
                                <w:shd w:val="clear" w:color="auto" w:fill="auto"/>
                                <w:lang w:val="ru-RU" w:eastAsia="ru-RU" w:bidi="ru-RU"/>
                              </w:rPr>
                              <w:t>регистрации</w:t>
                              <w:tab/>
                            </w:r>
                            <w:r>
                              <w:fldChar w:fldCharType="end"/>
                            </w:r>
                            <w:r>
                              <w:rPr>
                                <w:color w:val="4561A3"/>
                                <w:spacing w:val="0"/>
                                <w:w w:val="100"/>
                                <w:position w:val="0"/>
                                <w:shd w:val="clear" w:color="auto" w:fill="auto"/>
                                <w:lang w:val="ru-RU" w:eastAsia="ru-RU" w:bidi="ru-RU"/>
                              </w:rPr>
                              <w:t>кг</w:t>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7" type="#_x0000_t202" style="position:absolute;margin-left:72.600000000000009pt;margin-top:9.pt;width:177.09999999999999pt;height:136.30000000000001pt;z-index:-125829375;mso-wrap-distance-left:5.pt;mso-wrap-distance-right:5.pt;mso-position-horizontal-relative:page" filled="f" stroked="f">
                <v:textbox inset="0,0,0,0">
                  <w:txbxContent>
                    <w:p>
                      <w:pPr>
                        <w:pStyle w:val="Style2"/>
                        <w:keepNext w:val="0"/>
                        <w:keepLines w:val="0"/>
                        <w:widowControl w:val="0"/>
                        <w:shd w:val="clear" w:color="auto" w:fill="auto"/>
                        <w:bidi w:val="0"/>
                        <w:spacing w:before="0" w:after="120" w:line="276" w:lineRule="auto"/>
                        <w:ind w:left="0" w:right="0" w:firstLine="0"/>
                        <w:jc w:val="center"/>
                        <w:rPr>
                          <w:sz w:val="18"/>
                          <w:szCs w:val="18"/>
                        </w:rPr>
                      </w:pPr>
                      <w:r>
                        <w:rPr>
                          <w:color w:val="4561A3"/>
                          <w:spacing w:val="0"/>
                          <w:w w:val="100"/>
                          <w:position w:val="0"/>
                          <w:sz w:val="18"/>
                          <w:szCs w:val="18"/>
                          <w:shd w:val="clear" w:color="auto" w:fill="auto"/>
                          <w:lang w:val="ru-RU" w:eastAsia="ru-RU" w:bidi="ru-RU"/>
                        </w:rPr>
                        <w:t>ФЕДЕРАЛЬНАЯ</w:t>
                        <w:br/>
                        <w:t>АНТИМОНОПОЛЬНАЯ СЛУЖБА</w:t>
                      </w:r>
                    </w:p>
                    <w:p>
                      <w:pPr>
                        <w:pStyle w:val="Style2"/>
                        <w:keepNext w:val="0"/>
                        <w:keepLines w:val="0"/>
                        <w:widowControl w:val="0"/>
                        <w:shd w:val="clear" w:color="auto" w:fill="auto"/>
                        <w:bidi w:val="0"/>
                        <w:spacing w:before="0" w:line="240" w:lineRule="auto"/>
                        <w:ind w:left="0" w:right="0" w:firstLine="0"/>
                        <w:jc w:val="center"/>
                        <w:rPr>
                          <w:sz w:val="19"/>
                          <w:szCs w:val="19"/>
                        </w:rPr>
                      </w:pPr>
                      <w:r>
                        <w:rPr>
                          <w:b/>
                          <w:bCs/>
                          <w:color w:val="4561A3"/>
                          <w:spacing w:val="0"/>
                          <w:w w:val="100"/>
                          <w:position w:val="0"/>
                          <w:sz w:val="19"/>
                          <w:szCs w:val="19"/>
                          <w:shd w:val="clear" w:color="auto" w:fill="auto"/>
                          <w:lang w:val="ru-RU" w:eastAsia="ru-RU" w:bidi="ru-RU"/>
                        </w:rPr>
                        <w:t>УПРАВЛЕНИЕ</w:t>
                        <w:br/>
                        <w:t>Федеральной антимонопольной службы</w:t>
                        <w:br/>
                        <w:t>по Ростовской области</w:t>
                      </w:r>
                    </w:p>
                    <w:p>
                      <w:pPr>
                        <w:pStyle w:val="Style6"/>
                        <w:keepNext w:val="0"/>
                        <w:keepLines w:val="0"/>
                        <w:widowControl w:val="0"/>
                        <w:shd w:val="clear" w:color="auto" w:fill="auto"/>
                        <w:bidi w:val="0"/>
                        <w:spacing w:before="0"/>
                        <w:ind w:left="0" w:right="0" w:firstLine="0"/>
                        <w:jc w:val="center"/>
                      </w:pPr>
                      <w:r>
                        <w:rPr>
                          <w:spacing w:val="0"/>
                          <w:w w:val="100"/>
                          <w:position w:val="0"/>
                          <w:shd w:val="clear" w:color="auto" w:fill="auto"/>
                          <w:lang w:val="ru-RU" w:eastAsia="ru-RU" w:bidi="ru-RU"/>
                        </w:rPr>
                        <w:t>пр. Ворошиловский, 2/2, офис 403</w:t>
                        <w:br/>
                        <w:t>г. Ростов-на-Дону, 344006</w:t>
                        <w:br/>
                        <w:t>тел. (863) 263-31-04, факс (863) 240-99-59</w:t>
                        <w:br/>
                        <w:t>е-тай: 1о61@Га5.§оу.П1</w:t>
                      </w:r>
                    </w:p>
                    <w:p>
                      <w:pPr>
                        <w:pStyle w:val="Style8"/>
                        <w:keepNext w:val="0"/>
                        <w:keepLines w:val="0"/>
                        <w:widowControl w:val="0"/>
                        <w:shd w:val="clear" w:color="auto" w:fill="auto"/>
                        <w:tabs>
                          <w:tab w:pos="1642" w:val="left"/>
                        </w:tabs>
                        <w:bidi w:val="0"/>
                        <w:spacing w:before="0"/>
                        <w:ind w:left="0" w:right="0"/>
                        <w:jc w:val="both"/>
                      </w:pPr>
                      <w:r>
                        <w:rPr>
                          <w:spacing w:val="0"/>
                          <w:w w:val="100"/>
                          <w:position w:val="0"/>
                          <w:shd w:val="clear" w:color="auto" w:fill="auto"/>
                          <w:lang w:val="ru-RU" w:eastAsia="ru-RU" w:bidi="ru-RU"/>
                        </w:rPr>
                        <w:t xml:space="preserve">штамп </w:t>
                      </w:r>
                      <w:r>
                        <w:fldChar w:fldCharType="begin"/>
                      </w:r>
                      <w:r>
                        <w:rPr/>
                        <w:instrText> HYPERLINK "file://f207ca94-a13c-4ba0-b72d-f018c9eed8f1/" </w:instrText>
                      </w:r>
                      <w:r>
                        <w:fldChar w:fldCharType="separate"/>
                      </w:r>
                      <w:r>
                        <w:rPr>
                          <w:spacing w:val="0"/>
                          <w:w w:val="100"/>
                          <w:position w:val="0"/>
                          <w:shd w:val="clear" w:color="auto" w:fill="auto"/>
                          <w:lang w:val="ru-RU" w:eastAsia="ru-RU" w:bidi="ru-RU"/>
                        </w:rPr>
                        <w:t>регистрации</w:t>
                        <w:tab/>
                      </w:r>
                      <w:r>
                        <w:fldChar w:fldCharType="end"/>
                      </w:r>
                      <w:r>
                        <w:rPr>
                          <w:color w:val="4561A3"/>
                          <w:spacing w:val="0"/>
                          <w:w w:val="100"/>
                          <w:position w:val="0"/>
                          <w:shd w:val="clear" w:color="auto" w:fill="auto"/>
                          <w:lang w:val="ru-RU" w:eastAsia="ru-RU" w:bidi="ru-RU"/>
                        </w:rPr>
                        <w:t>кг</w:t>
                      </w:r>
                    </w:p>
                  </w:txbxContent>
                </v:textbox>
                <w10:wrap type="square" anchorx="page"/>
              </v:shape>
            </w:pict>
          </mc:Fallback>
        </mc:AlternateContent>
      </w:r>
      <w:r>
        <w:rPr>
          <w:b/>
          <w:bCs/>
          <w:color w:val="000000"/>
          <w:spacing w:val="0"/>
          <w:w w:val="100"/>
          <w:position w:val="0"/>
          <w:sz w:val="24"/>
          <w:szCs w:val="24"/>
          <w:shd w:val="clear" w:color="auto" w:fill="auto"/>
          <w:lang w:val="ru-RU" w:eastAsia="ru-RU" w:bidi="ru-RU"/>
        </w:rPr>
        <w:t>ООО «Строительно-Отделочная Фирма «БаРо»</w:t>
      </w:r>
    </w:p>
    <w:p>
      <w:pPr>
        <w:pStyle w:val="Style12"/>
        <w:keepNext w:val="0"/>
        <w:keepLines w:val="0"/>
        <w:widowControl w:val="0"/>
        <w:shd w:val="clear" w:color="auto" w:fill="auto"/>
        <w:bidi w:val="0"/>
        <w:spacing w:before="0" w:after="0" w:line="240" w:lineRule="auto"/>
        <w:ind w:left="0" w:right="0" w:firstLine="380"/>
        <w:jc w:val="left"/>
      </w:pPr>
      <w:r>
        <w:rPr>
          <w:b/>
          <w:bCs/>
          <w:color w:val="000000"/>
          <w:spacing w:val="0"/>
          <w:w w:val="100"/>
          <w:position w:val="0"/>
          <w:sz w:val="24"/>
          <w:szCs w:val="24"/>
          <w:shd w:val="clear" w:color="auto" w:fill="auto"/>
          <w:lang w:val="ru-RU" w:eastAsia="ru-RU" w:bidi="ru-RU"/>
        </w:rPr>
        <w:t>(далее - Заявитель)</w:t>
      </w:r>
    </w:p>
    <w:p>
      <w:pPr>
        <w:pStyle w:val="Style12"/>
        <w:keepNext w:val="0"/>
        <w:keepLines w:val="0"/>
        <w:widowControl w:val="0"/>
        <w:shd w:val="clear" w:color="auto" w:fill="auto"/>
        <w:bidi w:val="0"/>
        <w:spacing w:before="0" w:after="0" w:line="240" w:lineRule="auto"/>
        <w:ind w:left="0" w:right="0" w:firstLine="380"/>
        <w:jc w:val="left"/>
      </w:pPr>
      <w:r>
        <w:rPr>
          <w:color w:val="000000"/>
          <w:spacing w:val="0"/>
          <w:w w:val="100"/>
          <w:position w:val="0"/>
          <w:sz w:val="24"/>
          <w:szCs w:val="24"/>
          <w:shd w:val="clear" w:color="auto" w:fill="auto"/>
          <w:lang w:val="ru-RU" w:eastAsia="ru-RU" w:bidi="ru-RU"/>
        </w:rPr>
        <w:t>ул.Тургенева, д. 68, г. Нальчик,</w:t>
      </w:r>
    </w:p>
    <w:p>
      <w:pPr>
        <w:pStyle w:val="Style12"/>
        <w:keepNext w:val="0"/>
        <w:keepLines w:val="0"/>
        <w:widowControl w:val="0"/>
        <w:shd w:val="clear" w:color="auto" w:fill="auto"/>
        <w:bidi w:val="0"/>
        <w:spacing w:before="0" w:after="0" w:line="240" w:lineRule="auto"/>
        <w:ind w:left="0" w:right="0" w:firstLine="380"/>
        <w:jc w:val="left"/>
      </w:pPr>
      <w:r>
        <w:rPr>
          <w:color w:val="000000"/>
          <w:spacing w:val="0"/>
          <w:w w:val="100"/>
          <w:position w:val="0"/>
          <w:sz w:val="24"/>
          <w:szCs w:val="24"/>
          <w:shd w:val="clear" w:color="auto" w:fill="auto"/>
          <w:lang w:val="ru-RU" w:eastAsia="ru-RU" w:bidi="ru-RU"/>
        </w:rPr>
        <w:t>Кабардино-Балкарская Республика, 360004</w:t>
      </w:r>
    </w:p>
    <w:p>
      <w:pPr>
        <w:pStyle w:val="Style12"/>
        <w:keepNext w:val="0"/>
        <w:keepLines w:val="0"/>
        <w:widowControl w:val="0"/>
        <w:shd w:val="clear" w:color="auto" w:fill="auto"/>
        <w:bidi w:val="0"/>
        <w:spacing w:before="0" w:after="260" w:line="240" w:lineRule="auto"/>
        <w:ind w:left="0" w:right="0" w:firstLine="380"/>
        <w:jc w:val="left"/>
      </w:pPr>
      <w:r>
        <w:rPr>
          <w:color w:val="000000"/>
          <w:spacing w:val="0"/>
          <w:w w:val="100"/>
          <w:position w:val="0"/>
          <w:sz w:val="24"/>
          <w:szCs w:val="24"/>
          <w:shd w:val="clear" w:color="auto" w:fill="auto"/>
          <w:lang w:val="ru-RU" w:eastAsia="ru-RU" w:bidi="ru-RU"/>
        </w:rPr>
        <w:t>Етай: 8ой_Ьаго@тай.ш</w:t>
      </w:r>
    </w:p>
    <w:p>
      <w:pPr>
        <w:pStyle w:val="Style12"/>
        <w:keepNext w:val="0"/>
        <w:keepLines w:val="0"/>
        <w:widowControl w:val="0"/>
        <w:shd w:val="clear" w:color="auto" w:fill="auto"/>
        <w:bidi w:val="0"/>
        <w:spacing w:before="0" w:after="0" w:line="240" w:lineRule="auto"/>
        <w:ind w:left="380" w:right="0" w:firstLine="0"/>
        <w:jc w:val="left"/>
      </w:pPr>
      <w:r>
        <w:rPr>
          <w:b/>
          <w:bCs/>
          <w:color w:val="000000"/>
          <w:spacing w:val="0"/>
          <w:w w:val="100"/>
          <w:position w:val="0"/>
          <w:sz w:val="24"/>
          <w:szCs w:val="24"/>
          <w:shd w:val="clear" w:color="auto" w:fill="auto"/>
          <w:lang w:val="ru-RU" w:eastAsia="ru-RU" w:bidi="ru-RU"/>
        </w:rPr>
        <w:t>ГБУ РО «Центральная районная больница» в Зерноградском районе (далее - Заказчик)</w:t>
      </w:r>
    </w:p>
    <w:p>
      <w:pPr>
        <w:pStyle w:val="Style12"/>
        <w:keepNext w:val="0"/>
        <w:keepLines w:val="0"/>
        <w:widowControl w:val="0"/>
        <w:shd w:val="clear" w:color="auto" w:fill="auto"/>
        <w:bidi w:val="0"/>
        <w:spacing w:before="0" w:after="0" w:line="240" w:lineRule="auto"/>
        <w:ind w:left="0" w:right="0" w:firstLine="380"/>
        <w:jc w:val="left"/>
      </w:pPr>
      <w:r>
        <w:rPr>
          <w:color w:val="000000"/>
          <w:spacing w:val="0"/>
          <w:w w:val="100"/>
          <w:position w:val="0"/>
          <w:sz w:val="24"/>
          <w:szCs w:val="24"/>
          <w:shd w:val="clear" w:color="auto" w:fill="auto"/>
          <w:lang w:val="ru-RU" w:eastAsia="ru-RU" w:bidi="ru-RU"/>
        </w:rPr>
        <w:t>ул.им. Чкалова, д. 30, г. Зерноград,</w:t>
      </w:r>
    </w:p>
    <w:p>
      <w:pPr>
        <w:pStyle w:val="Style12"/>
        <w:keepNext w:val="0"/>
        <w:keepLines w:val="0"/>
        <w:widowControl w:val="0"/>
        <w:shd w:val="clear" w:color="auto" w:fill="auto"/>
        <w:bidi w:val="0"/>
        <w:spacing w:before="0" w:after="0" w:line="240" w:lineRule="auto"/>
        <w:ind w:left="0" w:right="0" w:firstLine="380"/>
        <w:jc w:val="left"/>
      </w:pPr>
      <w:r>
        <mc:AlternateContent>
          <mc:Choice Requires="wps">
            <w:drawing>
              <wp:anchor distT="0" distB="0" distL="0" distR="0" simplePos="0" relativeHeight="125829380" behindDoc="0" locked="0" layoutInCell="1" allowOverlap="1">
                <wp:simplePos x="0" y="0"/>
                <wp:positionH relativeFrom="page">
                  <wp:posOffset>723900</wp:posOffset>
                </wp:positionH>
                <wp:positionV relativeFrom="paragraph">
                  <wp:posOffset>25400</wp:posOffset>
                </wp:positionV>
                <wp:extent cx="2578735" cy="161290"/>
                <wp:wrapSquare wrapText="bothSides"/>
                <wp:docPr id="3" name="Shape 3"/>
                <a:graphic xmlns:a="http://schemas.openxmlformats.org/drawingml/2006/main">
                  <a:graphicData uri="http://schemas.microsoft.com/office/word/2010/wordprocessingShape">
                    <wps:wsp>
                      <wps:cNvSpPr txBox="1"/>
                      <wps:spPr>
                        <a:xfrm>
                          <a:ext cx="2578735" cy="16129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color w:val="4561A3"/>
                                <w:spacing w:val="0"/>
                                <w:w w:val="100"/>
                                <w:position w:val="0"/>
                                <w:sz w:val="19"/>
                                <w:szCs w:val="19"/>
                                <w:shd w:val="clear" w:color="auto" w:fill="auto"/>
                                <w:lang w:val="ru-RU" w:eastAsia="ru-RU" w:bidi="ru-RU"/>
                              </w:rPr>
                              <w:t xml:space="preserve">На№  от</w:t>
                            </w:r>
                          </w:p>
                        </w:txbxContent>
                      </wps:txbx>
                      <wps:bodyPr wrap="none" lIns="0" tIns="0" rIns="0" bIns="0">
                        <a:noAutoFit/>
                      </wps:bodyPr>
                    </wps:wsp>
                  </a:graphicData>
                </a:graphic>
              </wp:anchor>
            </w:drawing>
          </mc:Choice>
          <mc:Fallback>
            <w:pict>
              <v:shape id="_x0000_s1029" type="#_x0000_t202" style="position:absolute;margin-left:57.pt;margin-top:2.pt;width:203.05000000000001pt;height:12.700000000000001pt;z-index:-125829373;mso-wrap-distance-left:0;mso-wrap-distance-right:0;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rPr>
                          <w:sz w:val="19"/>
                          <w:szCs w:val="19"/>
                        </w:rPr>
                      </w:pPr>
                      <w:r>
                        <w:rPr>
                          <w:color w:val="4561A3"/>
                          <w:spacing w:val="0"/>
                          <w:w w:val="100"/>
                          <w:position w:val="0"/>
                          <w:sz w:val="19"/>
                          <w:szCs w:val="19"/>
                          <w:shd w:val="clear" w:color="auto" w:fill="auto"/>
                          <w:lang w:val="ru-RU" w:eastAsia="ru-RU" w:bidi="ru-RU"/>
                        </w:rPr>
                        <w:t xml:space="preserve">На№  от</w:t>
                      </w:r>
                    </w:p>
                  </w:txbxContent>
                </v:textbox>
                <w10:wrap type="square" anchorx="page"/>
              </v:shape>
            </w:pict>
          </mc:Fallback>
        </mc:AlternateContent>
      </w:r>
      <w:r>
        <w:rPr>
          <w:color w:val="000000"/>
          <w:spacing w:val="0"/>
          <w:w w:val="100"/>
          <w:position w:val="0"/>
          <w:sz w:val="24"/>
          <w:szCs w:val="24"/>
          <w:shd w:val="clear" w:color="auto" w:fill="auto"/>
          <w:lang w:val="ru-RU" w:eastAsia="ru-RU" w:bidi="ru-RU"/>
        </w:rPr>
        <w:t>Зерноградский район, Ростовская область, 347740</w:t>
      </w:r>
    </w:p>
    <w:p>
      <w:pPr>
        <w:pStyle w:val="Style12"/>
        <w:keepNext w:val="0"/>
        <w:keepLines w:val="0"/>
        <w:widowControl w:val="0"/>
        <w:shd w:val="clear" w:color="auto" w:fill="auto"/>
        <w:bidi w:val="0"/>
        <w:spacing w:before="0" w:after="260" w:line="240" w:lineRule="auto"/>
        <w:ind w:left="380" w:right="0" w:firstLine="0"/>
        <w:jc w:val="left"/>
      </w:pPr>
      <w:r>
        <w:rPr>
          <w:color w:val="000000"/>
          <w:spacing w:val="0"/>
          <w:w w:val="100"/>
          <w:position w:val="0"/>
          <w:sz w:val="24"/>
          <w:szCs w:val="24"/>
          <w:shd w:val="clear" w:color="auto" w:fill="auto"/>
          <w:lang w:val="ru-RU" w:eastAsia="ru-RU" w:bidi="ru-RU"/>
        </w:rPr>
        <w:t>Етай: хетсгЬ@уап^ех.ш, хак-хет.сгЬ@уап^ех.ги</w:t>
      </w:r>
    </w:p>
    <w:p>
      <w:pPr>
        <w:pStyle w:val="Style12"/>
        <w:keepNext w:val="0"/>
        <w:keepLines w:val="0"/>
        <w:widowControl w:val="0"/>
        <w:shd w:val="clear" w:color="auto" w:fill="auto"/>
        <w:bidi w:val="0"/>
        <w:spacing w:before="0" w:after="0" w:line="240" w:lineRule="auto"/>
        <w:ind w:left="0" w:right="0" w:firstLine="380"/>
        <w:jc w:val="left"/>
      </w:pPr>
      <w:r>
        <w:rPr>
          <w:b/>
          <w:bCs/>
          <w:color w:val="000000"/>
          <w:spacing w:val="0"/>
          <w:w w:val="100"/>
          <w:position w:val="0"/>
          <w:sz w:val="24"/>
          <w:szCs w:val="24"/>
          <w:shd w:val="clear" w:color="auto" w:fill="auto"/>
          <w:lang w:val="ru-RU" w:eastAsia="ru-RU" w:bidi="ru-RU"/>
        </w:rPr>
        <w:t>ООО «РТС-тендер»</w:t>
      </w:r>
    </w:p>
    <w:p>
      <w:pPr>
        <w:pStyle w:val="Style12"/>
        <w:keepNext w:val="0"/>
        <w:keepLines w:val="0"/>
        <w:widowControl w:val="0"/>
        <w:shd w:val="clear" w:color="auto" w:fill="auto"/>
        <w:bidi w:val="0"/>
        <w:spacing w:before="0" w:after="0" w:line="240" w:lineRule="auto"/>
        <w:ind w:left="0" w:right="0" w:firstLine="380"/>
        <w:jc w:val="left"/>
      </w:pPr>
      <w:r>
        <w:rPr>
          <w:b/>
          <w:bCs/>
          <w:color w:val="000000"/>
          <w:spacing w:val="0"/>
          <w:w w:val="100"/>
          <w:position w:val="0"/>
          <w:sz w:val="24"/>
          <w:szCs w:val="24"/>
          <w:shd w:val="clear" w:color="auto" w:fill="auto"/>
          <w:lang w:val="ru-RU" w:eastAsia="ru-RU" w:bidi="ru-RU"/>
        </w:rPr>
        <w:t>(далее - Оператор электронной</w:t>
      </w:r>
    </w:p>
    <w:p>
      <w:pPr>
        <w:pStyle w:val="Style12"/>
        <w:keepNext w:val="0"/>
        <w:keepLines w:val="0"/>
        <w:widowControl w:val="0"/>
        <w:shd w:val="clear" w:color="auto" w:fill="auto"/>
        <w:bidi w:val="0"/>
        <w:spacing w:before="0" w:after="0" w:line="240" w:lineRule="auto"/>
        <w:ind w:left="0" w:right="0" w:firstLine="380"/>
        <w:jc w:val="left"/>
      </w:pPr>
      <w:r>
        <w:rPr>
          <w:b/>
          <w:bCs/>
          <w:color w:val="000000"/>
          <w:spacing w:val="0"/>
          <w:w w:val="100"/>
          <w:position w:val="0"/>
          <w:sz w:val="24"/>
          <w:szCs w:val="24"/>
          <w:shd w:val="clear" w:color="auto" w:fill="auto"/>
          <w:lang w:val="ru-RU" w:eastAsia="ru-RU" w:bidi="ru-RU"/>
        </w:rPr>
        <w:t>площадки)</w:t>
      </w:r>
    </w:p>
    <w:p>
      <w:pPr>
        <w:pStyle w:val="Style12"/>
        <w:keepNext w:val="0"/>
        <w:keepLines w:val="0"/>
        <w:widowControl w:val="0"/>
        <w:shd w:val="clear" w:color="auto" w:fill="auto"/>
        <w:bidi w:val="0"/>
        <w:spacing w:before="0" w:after="260" w:line="240" w:lineRule="auto"/>
        <w:ind w:left="0" w:right="0" w:firstLine="380"/>
        <w:jc w:val="left"/>
      </w:pPr>
      <w:r>
        <w:rPr>
          <w:color w:val="000000"/>
          <w:spacing w:val="0"/>
          <w:w w:val="100"/>
          <w:position w:val="0"/>
          <w:sz w:val="24"/>
          <w:szCs w:val="24"/>
          <w:shd w:val="clear" w:color="auto" w:fill="auto"/>
          <w:lang w:val="ru-RU" w:eastAsia="ru-RU" w:bidi="ru-RU"/>
        </w:rPr>
        <w:t>Етай: ко@г1з-1еп^ег.ги</w:t>
      </w:r>
    </w:p>
    <w:p>
      <w:pPr>
        <w:pStyle w:val="Style12"/>
        <w:keepNext w:val="0"/>
        <w:keepLines w:val="0"/>
        <w:widowControl w:val="0"/>
        <w:shd w:val="clear" w:color="auto" w:fill="auto"/>
        <w:bidi w:val="0"/>
        <w:spacing w:before="0" w:after="0" w:line="252" w:lineRule="auto"/>
        <w:ind w:left="0" w:right="0" w:firstLine="0"/>
        <w:jc w:val="center"/>
      </w:pPr>
      <w:r>
        <mc:AlternateContent>
          <mc:Choice Requires="wps">
            <w:drawing>
              <wp:anchor distT="0" distB="0" distL="114300" distR="114300" simplePos="0" relativeHeight="125829382" behindDoc="0" locked="0" layoutInCell="1" allowOverlap="1">
                <wp:simplePos x="0" y="0"/>
                <wp:positionH relativeFrom="page">
                  <wp:posOffset>760095</wp:posOffset>
                </wp:positionH>
                <wp:positionV relativeFrom="paragraph">
                  <wp:posOffset>533400</wp:posOffset>
                </wp:positionV>
                <wp:extent cx="719455" cy="225425"/>
                <wp:wrapSquare wrapText="bothSides"/>
                <wp:docPr id="5" name="Shape 5"/>
                <a:graphic xmlns:a="http://schemas.openxmlformats.org/drawingml/2006/main">
                  <a:graphicData uri="http://schemas.microsoft.com/office/word/2010/wordprocessingShape">
                    <wps:wsp>
                      <wps:cNvSpPr txBox="1"/>
                      <wps:spPr>
                        <a:xfrm>
                          <a:ext cx="719455" cy="225425"/>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11.01.2024</w:t>
                            </w:r>
                          </w:p>
                        </w:txbxContent>
                      </wps:txbx>
                      <wps:bodyPr wrap="none" lIns="0" tIns="0" rIns="0" bIns="0">
                        <a:noAutoFit/>
                      </wps:bodyPr>
                    </wps:wsp>
                  </a:graphicData>
                </a:graphic>
              </wp:anchor>
            </w:drawing>
          </mc:Choice>
          <mc:Fallback>
            <w:pict>
              <v:shape id="_x0000_s1031" type="#_x0000_t202" style="position:absolute;margin-left:59.850000000000001pt;margin-top:42.pt;width:56.649999999999999pt;height:17.75pt;z-index:-125829371;mso-wrap-distance-left:9.pt;mso-wrap-distance-right:9.pt;mso-position-horizontal-relative:page" filled="f" stroked="f">
                <v:textbox inset="0,0,0,0">
                  <w:txbxContent>
                    <w:p>
                      <w:pPr>
                        <w:pStyle w:val="Style12"/>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11.01.2024</w:t>
                      </w:r>
                    </w:p>
                  </w:txbxContent>
                </v:textbox>
                <w10:wrap type="square" anchorx="page"/>
              </v:shape>
            </w:pict>
          </mc:Fallback>
        </mc:AlternateContent>
      </w:r>
      <w:r>
        <w:rPr>
          <w:b/>
          <w:bCs/>
          <w:color w:val="000000"/>
          <w:spacing w:val="0"/>
          <w:w w:val="100"/>
          <w:position w:val="0"/>
          <w:sz w:val="24"/>
          <w:szCs w:val="24"/>
          <w:shd w:val="clear" w:color="auto" w:fill="auto"/>
          <w:lang w:val="ru-RU" w:eastAsia="ru-RU" w:bidi="ru-RU"/>
        </w:rPr>
        <w:t>РЕШЕНИЕ</w:t>
        <w:br/>
        <w:t>по результатам рассмотрения дела</w:t>
        <w:br/>
        <w:t>№061/06/42-4733/2023</w:t>
      </w:r>
    </w:p>
    <w:p>
      <w:pPr>
        <w:pStyle w:val="Style12"/>
        <w:keepNext w:val="0"/>
        <w:keepLines w:val="0"/>
        <w:widowControl w:val="0"/>
        <w:shd w:val="clear" w:color="auto" w:fill="auto"/>
        <w:bidi w:val="0"/>
        <w:spacing w:before="0" w:after="260" w:line="240" w:lineRule="auto"/>
        <w:ind w:left="4220" w:right="0" w:firstLine="0"/>
        <w:jc w:val="left"/>
      </w:pPr>
      <w:r>
        <w:rPr>
          <w:color w:val="000000"/>
          <w:spacing w:val="0"/>
          <w:w w:val="100"/>
          <w:position w:val="0"/>
          <w:sz w:val="24"/>
          <w:szCs w:val="24"/>
          <w:shd w:val="clear" w:color="auto" w:fill="auto"/>
          <w:lang w:val="ru-RU" w:eastAsia="ru-RU" w:bidi="ru-RU"/>
        </w:rPr>
        <w:t>г. Ростов-на-Дону</w:t>
      </w:r>
    </w:p>
    <w:p>
      <w:pPr>
        <w:pStyle w:val="Style12"/>
        <w:keepNext w:val="0"/>
        <w:keepLines w:val="0"/>
        <w:widowControl w:val="0"/>
        <w:shd w:val="clear" w:color="auto" w:fill="auto"/>
        <w:bidi w:val="0"/>
        <w:spacing w:before="0" w:after="260" w:line="240" w:lineRule="auto"/>
        <w:ind w:left="-4080" w:right="0" w:firstLine="720"/>
        <w:jc w:val="left"/>
      </w:pPr>
      <w:r>
        <w:rPr>
          <w:color w:val="000000"/>
          <w:spacing w:val="0"/>
          <w:w w:val="100"/>
          <w:position w:val="0"/>
          <w:sz w:val="24"/>
          <w:szCs w:val="24"/>
          <w:shd w:val="clear" w:color="auto" w:fill="auto"/>
          <w:lang w:val="ru-RU" w:eastAsia="ru-RU" w:bidi="ru-RU"/>
        </w:rPr>
        <w:t>Комиссия Управления Федеральной антимонопольной службы по Ростовской области (далее - Ростовское УФАС России, Комиссия) по контролю соблюдения законодательства в сфере закупок в составе:</w:t>
      </w:r>
    </w:p>
    <w:p>
      <w:pPr>
        <w:pStyle w:val="Style12"/>
        <w:keepNext w:val="0"/>
        <w:keepLines w:val="0"/>
        <w:widowControl w:val="0"/>
        <w:shd w:val="clear" w:color="auto" w:fill="auto"/>
        <w:tabs>
          <w:tab w:pos="4260" w:val="left"/>
        </w:tabs>
        <w:bidi w:val="0"/>
        <w:spacing w:before="0" w:after="0" w:line="240" w:lineRule="auto"/>
        <w:ind w:left="0" w:right="0" w:hanging="4080"/>
        <w:jc w:val="left"/>
      </w:pPr>
      <w:r>
        <w:rPr>
          <w:color w:val="000000"/>
          <w:spacing w:val="0"/>
          <w:w w:val="100"/>
          <w:position w:val="0"/>
          <w:sz w:val="24"/>
          <w:szCs w:val="24"/>
          <w:shd w:val="clear" w:color="auto" w:fill="auto"/>
          <w:lang w:val="ru-RU" w:eastAsia="ru-RU" w:bidi="ru-RU"/>
        </w:rPr>
        <w:t>Председатель Комиссии:</w:t>
        <w:tab/>
        <w:t>М.А. Благодарев,</w:t>
      </w:r>
    </w:p>
    <w:p>
      <w:pPr>
        <w:pStyle w:val="Style12"/>
        <w:keepNext w:val="0"/>
        <w:keepLines w:val="0"/>
        <w:widowControl w:val="0"/>
        <w:shd w:val="clear" w:color="auto" w:fill="auto"/>
        <w:tabs>
          <w:tab w:pos="4260" w:val="left"/>
        </w:tabs>
        <w:bidi w:val="0"/>
        <w:spacing w:before="0" w:after="0" w:line="240" w:lineRule="auto"/>
        <w:ind w:left="0" w:right="0" w:hanging="4080"/>
        <w:jc w:val="left"/>
      </w:pPr>
      <w:r>
        <w:rPr>
          <w:color w:val="000000"/>
          <w:spacing w:val="0"/>
          <w:w w:val="100"/>
          <w:position w:val="0"/>
          <w:sz w:val="24"/>
          <w:szCs w:val="24"/>
          <w:shd w:val="clear" w:color="auto" w:fill="auto"/>
          <w:lang w:val="ru-RU" w:eastAsia="ru-RU" w:bidi="ru-RU"/>
        </w:rPr>
        <w:t>Члены Комиссии:</w:t>
        <w:tab/>
        <w:t>А.С. Вишнякова,</w:t>
      </w:r>
    </w:p>
    <w:p>
      <w:pPr>
        <w:pStyle w:val="Style12"/>
        <w:keepNext w:val="0"/>
        <w:keepLines w:val="0"/>
        <w:widowControl w:val="0"/>
        <w:shd w:val="clear" w:color="auto" w:fill="auto"/>
        <w:bidi w:val="0"/>
        <w:spacing w:before="0" w:after="260" w:line="240" w:lineRule="auto"/>
        <w:ind w:left="0" w:right="0" w:firstLine="0"/>
        <w:jc w:val="right"/>
      </w:pPr>
      <w:r>
        <w:rPr>
          <w:color w:val="000000"/>
          <w:spacing w:val="0"/>
          <w:w w:val="100"/>
          <w:position w:val="0"/>
          <w:sz w:val="24"/>
          <w:szCs w:val="24"/>
          <w:shd w:val="clear" w:color="auto" w:fill="auto"/>
          <w:lang w:val="ru-RU" w:eastAsia="ru-RU" w:bidi="ru-RU"/>
        </w:rPr>
        <w:t>А.А. Вертий,</w:t>
      </w:r>
    </w:p>
    <w:p>
      <w:pPr>
        <w:pStyle w:val="Style12"/>
        <w:keepNext w:val="0"/>
        <w:keepLines w:val="0"/>
        <w:widowControl w:val="0"/>
        <w:shd w:val="clear" w:color="auto" w:fill="auto"/>
        <w:bidi w:val="0"/>
        <w:spacing w:before="0" w:after="260" w:line="240" w:lineRule="auto"/>
        <w:ind w:left="-4080" w:right="0" w:firstLine="720"/>
        <w:jc w:val="both"/>
      </w:pPr>
      <w:r>
        <w:rPr>
          <w:color w:val="000000"/>
          <w:spacing w:val="0"/>
          <w:w w:val="100"/>
          <w:position w:val="0"/>
          <w:sz w:val="24"/>
          <w:szCs w:val="24"/>
          <w:shd w:val="clear" w:color="auto" w:fill="auto"/>
          <w:lang w:val="ru-RU" w:eastAsia="ru-RU" w:bidi="ru-RU"/>
        </w:rPr>
        <w:t>рассмотрев дело №061/06/42-4733/2023 по жалобе Заявителя о нарушении Заказчиком при проведении электронного аукциона №0358300127623000136 «Изделия медицинского назначения для ГБУ РО "ЦРБ" в Зерноградском районе» (далее - аукцион) норм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путем использования системы видеоконференц-связи (ВКС) при участии представителя Заказчика — Моисеевой С.А. (доверенность от 10.01.2024), в отсутствие представителя Заявителя, уведомленного надлежащим образом (ходатайств не поступало),</w:t>
      </w:r>
    </w:p>
    <w:p>
      <w:pPr>
        <w:pStyle w:val="Style12"/>
        <w:keepNext w:val="0"/>
        <w:keepLines w:val="0"/>
        <w:widowControl w:val="0"/>
        <w:shd w:val="clear" w:color="auto" w:fill="auto"/>
        <w:bidi w:val="0"/>
        <w:spacing w:before="0" w:after="260" w:line="240" w:lineRule="auto"/>
        <w:ind w:left="0" w:right="0" w:firstLine="380"/>
        <w:jc w:val="left"/>
      </w:pPr>
      <w:r>
        <w:rPr>
          <w:b/>
          <w:bCs/>
          <w:color w:val="000000"/>
          <w:spacing w:val="0"/>
          <w:w w:val="100"/>
          <w:position w:val="0"/>
          <w:sz w:val="24"/>
          <w:szCs w:val="24"/>
          <w:shd w:val="clear" w:color="auto" w:fill="auto"/>
          <w:lang w:val="ru-RU" w:eastAsia="ru-RU" w:bidi="ru-RU"/>
        </w:rPr>
        <w:t>УСТАНОВИЛА:</w:t>
      </w:r>
    </w:p>
    <w:p>
      <w:pPr>
        <w:pStyle w:val="Style12"/>
        <w:keepNext w:val="0"/>
        <w:keepLines w:val="0"/>
        <w:widowControl w:val="0"/>
        <w:shd w:val="clear" w:color="auto" w:fill="auto"/>
        <w:bidi w:val="0"/>
        <w:spacing w:before="0" w:after="0" w:line="240" w:lineRule="auto"/>
        <w:ind w:left="-4080" w:right="0" w:firstLine="720"/>
        <w:jc w:val="left"/>
        <w:sectPr>
          <w:footerReference w:type="default" r:id="rId5"/>
          <w:footnotePr>
            <w:pos w:val="pageBottom"/>
            <w:numFmt w:val="decimal"/>
            <w:numRestart w:val="continuous"/>
          </w:footnotePr>
          <w:pgSz w:w="11900" w:h="16840"/>
          <w:pgMar w:top="1162" w:right="536" w:bottom="1068" w:left="5200" w:header="734" w:footer="3" w:gutter="0"/>
          <w:pgNumType w:start="1"/>
          <w:cols w:space="720"/>
          <w:noEndnote/>
          <w:rtlGutter w:val="0"/>
          <w:docGrid w:linePitch="360"/>
        </w:sectPr>
      </w:pPr>
      <w:r>
        <w:rPr>
          <w:color w:val="000000"/>
          <w:spacing w:val="0"/>
          <w:w w:val="100"/>
          <w:position w:val="0"/>
          <w:sz w:val="24"/>
          <w:szCs w:val="24"/>
          <w:shd w:val="clear" w:color="auto" w:fill="auto"/>
          <w:lang w:val="ru-RU" w:eastAsia="ru-RU" w:bidi="ru-RU"/>
        </w:rPr>
        <w:t>В Ростовское УФАС России поступила жалоба Заявителя на действия ГБУ РО «Центральная районная больница» в Зерноградском районе при разработке извещения электронного аукциона.</w:t>
      </w:r>
    </w:p>
    <w:p>
      <w:pPr>
        <w:widowControl w:val="0"/>
        <w:spacing w:before="9" w:after="9" w:line="240" w:lineRule="exact"/>
        <w:rPr>
          <w:sz w:val="19"/>
          <w:szCs w:val="19"/>
        </w:rPr>
      </w:pPr>
    </w:p>
    <w:p>
      <w:pPr>
        <w:widowControl w:val="0"/>
        <w:spacing w:line="1" w:lineRule="exact"/>
        <w:sectPr>
          <w:footnotePr>
            <w:pos w:val="pageBottom"/>
            <w:numFmt w:val="decimal"/>
            <w:numRestart w:val="continuous"/>
          </w:footnotePr>
          <w:type w:val="continuous"/>
          <w:pgSz w:w="11900" w:h="16840"/>
          <w:pgMar w:top="1162" w:right="0" w:bottom="971" w:left="0" w:header="0" w:footer="3" w:gutter="0"/>
          <w:cols w:space="720"/>
          <w:noEndnote/>
          <w:rtlGutter w:val="0"/>
          <w:docGrid w:linePitch="360"/>
        </w:sectPr>
      </w:pPr>
    </w:p>
    <w:p>
      <w:pPr>
        <w:widowControl w:val="0"/>
        <w:spacing w:after="460" w:line="1" w:lineRule="exact"/>
      </w:pPr>
      <w:r>
        <w:drawing>
          <wp:anchor distT="0" distB="0" distL="0" distR="0" simplePos="0" relativeHeight="62914692" behindDoc="1" locked="0" layoutInCell="1" allowOverlap="1">
            <wp:simplePos x="0" y="0"/>
            <wp:positionH relativeFrom="page">
              <wp:posOffset>714375</wp:posOffset>
            </wp:positionH>
            <wp:positionV relativeFrom="paragraph">
              <wp:posOffset>12700</wp:posOffset>
            </wp:positionV>
            <wp:extent cx="1517650" cy="292735"/>
            <wp:wrapNone/>
            <wp:docPr id="9" name="Shape 9"/>
            <a:graphic xmlns:a="http://schemas.openxmlformats.org/drawingml/2006/main">
              <a:graphicData uri="http://schemas.openxmlformats.org/drawingml/2006/picture">
                <pic:pic xmlns:pic="http://schemas.openxmlformats.org/drawingml/2006/picture">
                  <pic:nvPicPr>
                    <pic:cNvPr id="10" name="Picture box 10"/>
                    <pic:cNvPicPr/>
                  </pic:nvPicPr>
                  <pic:blipFill>
                    <a:blip r:embed="rId6"/>
                    <a:stretch/>
                  </pic:blipFill>
                  <pic:spPr>
                    <a:xfrm>
                      <a:ext cx="1517650" cy="292735"/>
                    </a:xfrm>
                    <a:prstGeom prst="rect"/>
                  </pic:spPr>
                </pic:pic>
              </a:graphicData>
            </a:graphic>
          </wp:anchor>
        </w:drawing>
      </w:r>
    </w:p>
    <w:p>
      <w:pPr>
        <w:widowControl w:val="0"/>
        <w:spacing w:line="1" w:lineRule="exact"/>
        <w:sectPr>
          <w:footnotePr>
            <w:pos w:val="pageBottom"/>
            <w:numFmt w:val="decimal"/>
            <w:numRestart w:val="continuous"/>
          </w:footnotePr>
          <w:type w:val="continuous"/>
          <w:pgSz w:w="11900" w:h="16840"/>
          <w:pgMar w:top="1162" w:right="536" w:bottom="971" w:left="1125" w:header="0" w:footer="3" w:gutter="0"/>
          <w:cols w:space="720"/>
          <w:noEndnote/>
          <w:rtlGutter w:val="0"/>
          <w:docGrid w:linePitch="360"/>
        </w:sectPr>
      </w:pPr>
    </w:p>
    <w:p>
      <w:pPr>
        <w:pStyle w:val="Style12"/>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Заказчик в возражениях на жалобу:</w:t>
      </w:r>
    </w:p>
    <w:p>
      <w:pPr>
        <w:pStyle w:val="Style12"/>
        <w:keepNext w:val="0"/>
        <w:keepLines w:val="0"/>
        <w:widowControl w:val="0"/>
        <w:numPr>
          <w:ilvl w:val="0"/>
          <w:numId w:val="1"/>
        </w:numPr>
        <w:shd w:val="clear" w:color="auto" w:fill="auto"/>
        <w:tabs>
          <w:tab w:pos="976"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отрицал нарушения Закона в действиях Заказчика;</w:t>
      </w:r>
    </w:p>
    <w:p>
      <w:pPr>
        <w:pStyle w:val="Style12"/>
        <w:keepNext w:val="0"/>
        <w:keepLines w:val="0"/>
        <w:widowControl w:val="0"/>
        <w:numPr>
          <w:ilvl w:val="0"/>
          <w:numId w:val="1"/>
        </w:numPr>
        <w:shd w:val="clear" w:color="auto" w:fill="auto"/>
        <w:tabs>
          <w:tab w:pos="976"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указал причины формирования спорных положений описания объекта закупки;</w:t>
      </w:r>
    </w:p>
    <w:p>
      <w:pPr>
        <w:pStyle w:val="Style12"/>
        <w:keepNext w:val="0"/>
        <w:keepLines w:val="0"/>
        <w:widowControl w:val="0"/>
        <w:numPr>
          <w:ilvl w:val="0"/>
          <w:numId w:val="1"/>
        </w:numPr>
        <w:shd w:val="clear" w:color="auto" w:fill="auto"/>
        <w:tabs>
          <w:tab w:pos="976" w:val="left"/>
        </w:tabs>
        <w:bidi w:val="0"/>
        <w:spacing w:before="0" w:after="240" w:line="240" w:lineRule="auto"/>
        <w:ind w:left="0" w:right="0" w:firstLine="740"/>
        <w:jc w:val="both"/>
      </w:pPr>
      <w:r>
        <w:rPr>
          <w:color w:val="000000"/>
          <w:spacing w:val="0"/>
          <w:w w:val="100"/>
          <w:position w:val="0"/>
          <w:sz w:val="24"/>
          <w:szCs w:val="24"/>
          <w:shd w:val="clear" w:color="auto" w:fill="auto"/>
          <w:lang w:val="ru-RU" w:eastAsia="ru-RU" w:bidi="ru-RU"/>
        </w:rPr>
        <w:t>представил пояснения по доводу жалобы.</w:t>
      </w:r>
    </w:p>
    <w:p>
      <w:pPr>
        <w:pStyle w:val="Style12"/>
        <w:keepNext w:val="0"/>
        <w:keepLines w:val="0"/>
        <w:widowControl w:val="0"/>
        <w:shd w:val="clear" w:color="auto" w:fill="auto"/>
        <w:bidi w:val="0"/>
        <w:spacing w:before="0" w:after="240" w:line="240" w:lineRule="auto"/>
        <w:ind w:left="0" w:right="0" w:firstLine="740"/>
        <w:jc w:val="both"/>
      </w:pPr>
      <w:r>
        <w:rPr>
          <w:color w:val="000000"/>
          <w:spacing w:val="0"/>
          <w:w w:val="100"/>
          <w:position w:val="0"/>
          <w:sz w:val="24"/>
          <w:szCs w:val="24"/>
          <w:shd w:val="clear" w:color="auto" w:fill="auto"/>
          <w:lang w:val="ru-RU" w:eastAsia="ru-RU" w:bidi="ru-RU"/>
        </w:rPr>
        <w:t>В соответствии с ч.ч.1,3 ст.99 Закона, в ходе рассмотрения дела установлено следующее.</w:t>
      </w:r>
    </w:p>
    <w:p>
      <w:pPr>
        <w:pStyle w:val="Style12"/>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Извещение об осуществлении закупки размещено Заказчиком в Единой информационной системе в сфере закупок (далее — ЕИС) на официальном сайте \\л\л\-./акирк1.доу.ги 20.12.2023, согласно которому:</w:t>
      </w:r>
    </w:p>
    <w:p>
      <w:pPr>
        <w:pStyle w:val="Style12"/>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-установлены дата и время окончания подачи заявок - 28.12.2023 12:21 (МСК);</w:t>
      </w:r>
    </w:p>
    <w:p>
      <w:pPr>
        <w:pStyle w:val="Style12"/>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-начальная (максимальная) цена контракта (НМЦК) составила 1 546 345,00 рублей.</w:t>
      </w:r>
    </w:p>
    <w:p>
      <w:pPr>
        <w:pStyle w:val="Style12"/>
        <w:keepNext w:val="0"/>
        <w:keepLines w:val="0"/>
        <w:widowControl w:val="0"/>
        <w:shd w:val="clear" w:color="auto" w:fill="auto"/>
        <w:bidi w:val="0"/>
        <w:spacing w:before="0" w:after="240" w:line="240" w:lineRule="auto"/>
        <w:ind w:left="0" w:right="0" w:firstLine="740"/>
        <w:jc w:val="both"/>
      </w:pPr>
      <w:r>
        <w:rPr>
          <w:color w:val="000000"/>
          <w:spacing w:val="0"/>
          <w:w w:val="100"/>
          <w:position w:val="0"/>
          <w:sz w:val="24"/>
          <w:szCs w:val="24"/>
          <w:shd w:val="clear" w:color="auto" w:fill="auto"/>
          <w:lang w:val="ru-RU" w:eastAsia="ru-RU" w:bidi="ru-RU"/>
        </w:rPr>
        <w:t>В соответствии с протоколом подведения итогов определения поставщика (подрядчика, исполнителя) от 27.12.2023 №ИЭА1, на участие в закупке подано 3 заявки, 2 из которых признаны соответствующими требованиям извещения.</w:t>
      </w:r>
    </w:p>
    <w:p>
      <w:pPr>
        <w:pStyle w:val="Style12"/>
        <w:keepNext w:val="0"/>
        <w:keepLines w:val="0"/>
        <w:widowControl w:val="0"/>
        <w:shd w:val="clear" w:color="auto" w:fill="auto"/>
        <w:bidi w:val="0"/>
        <w:spacing w:before="0" w:after="240" w:line="252" w:lineRule="auto"/>
        <w:ind w:left="0" w:right="0" w:firstLine="740"/>
        <w:jc w:val="both"/>
      </w:pPr>
      <w:r>
        <w:rPr>
          <w:color w:val="000000"/>
          <w:spacing w:val="0"/>
          <w:w w:val="100"/>
          <w:position w:val="0"/>
          <w:sz w:val="24"/>
          <w:szCs w:val="24"/>
          <w:shd w:val="clear" w:color="auto" w:fill="auto"/>
          <w:lang w:val="ru-RU" w:eastAsia="ru-RU" w:bidi="ru-RU"/>
        </w:rPr>
        <w:t>Согласно доводам жалобы Заявителя, Заказчиком при описании объекта закупки нарушены положения правил использования каталога товаров, работ, услуг для обеспечения государственных и муниципальных нужд, утвержденных Постановлением Правительства РФ №145.</w:t>
      </w:r>
    </w:p>
    <w:p>
      <w:pPr>
        <w:pStyle w:val="Style12"/>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В соответствии с п.1 ч.2 ст.42 Закона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33 настоящего Федерального закона.</w:t>
      </w:r>
    </w:p>
    <w:p>
      <w:pPr>
        <w:pStyle w:val="Style12"/>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Из совокупного толкования п.1,2 ч.1, ч.2 ст.33 Закона следует, что описание объекта закупки должно носить объективный характер, то есть быть продиктовано истинными (а не мнимыми и недоказанными) потребностями заказчика, а также исключать любую возможность необоснованного ограничения количества потенциальных участников закупки установлением в извещении о проведении закупки заведомо неисполнимых требований либо требований, удовлетворить которые может лишь ограниченный круг лиц (при отсутствии доказательств действительной необходимости в установлении таких требований). Описание объекта закупки - это фиксация заказчиком в извещении о закупке качественных и количественных характеристик, признаков товара, обусловливающих их способность удовлетворять потребности и запросы заказчика, соответствовать своему назначению и предъявляемым требованиям.</w:t>
      </w:r>
    </w:p>
    <w:p>
      <w:pPr>
        <w:pStyle w:val="Style12"/>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В соответствии с ч.6 ст.23 Закона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pPr>
        <w:pStyle w:val="Style12"/>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Во исполнение ч.6 ст.23 Закона Правительством Российской Федерации принято Постановление от 08.02.2017 №145 «Об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(далее - Правила).</w:t>
      </w:r>
    </w:p>
    <w:p>
      <w:pPr>
        <w:pStyle w:val="Style12"/>
        <w:keepNext w:val="0"/>
        <w:keepLines w:val="0"/>
        <w:widowControl w:val="0"/>
        <w:shd w:val="clear" w:color="auto" w:fill="auto"/>
        <w:bidi w:val="0"/>
        <w:spacing w:before="0" w:after="240" w:line="240" w:lineRule="auto"/>
        <w:ind w:left="0" w:right="0" w:firstLine="740"/>
        <w:jc w:val="both"/>
      </w:pPr>
      <w:r>
        <w:rPr>
          <w:color w:val="000000"/>
          <w:spacing w:val="0"/>
          <w:w w:val="100"/>
          <w:position w:val="0"/>
          <w:sz w:val="24"/>
          <w:szCs w:val="24"/>
          <w:shd w:val="clear" w:color="auto" w:fill="auto"/>
          <w:lang w:val="ru-RU" w:eastAsia="ru-RU" w:bidi="ru-RU"/>
        </w:rPr>
        <w:t>Пункт 4 Правил закрепляет, что заказчики обязаны применять информацию, включенную в позицию каталога в соответствии с подпунктами «б»-«и» п.10 Правил, утвержденных постановлением Правительства Российской Федерации от 08.02.2017 №145, с указанной в ней даты начала обязательного применения.</w:t>
      </w:r>
    </w:p>
    <w:p>
      <w:pPr>
        <w:pStyle w:val="Style12"/>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На основании подпункта "д" пункта 10 Правил формирования каталога код вида медицинского изделия указывается в справочной информации, включенной в позицию каталога, которая не образует описания объекта закупки в понимании статьи 33 Закона и не включена в перечень информации, подлежащей в соответствии с пунктом 4 Правил использования каталога обязательному использованию заказчиком при осуществлении закупки.</w:t>
      </w:r>
    </w:p>
    <w:p>
      <w:pPr>
        <w:pStyle w:val="Style12"/>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При этом заказчик обязан при планировании закупки и ее осуществлении использовать информацию, включенную в соответствующую позицию, в том числе указывать согласно такой позиции следующую информацию:</w:t>
      </w:r>
    </w:p>
    <w:p>
      <w:pPr>
        <w:pStyle w:val="Style12"/>
        <w:keepNext w:val="0"/>
        <w:keepLines w:val="0"/>
        <w:widowControl w:val="0"/>
        <w:numPr>
          <w:ilvl w:val="0"/>
          <w:numId w:val="3"/>
        </w:numPr>
        <w:shd w:val="clear" w:color="auto" w:fill="auto"/>
        <w:tabs>
          <w:tab w:pos="1089"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наименование товара, работы, услуги;</w:t>
      </w:r>
    </w:p>
    <w:p>
      <w:pPr>
        <w:pStyle w:val="Style12"/>
        <w:keepNext w:val="0"/>
        <w:keepLines w:val="0"/>
        <w:widowControl w:val="0"/>
        <w:numPr>
          <w:ilvl w:val="0"/>
          <w:numId w:val="3"/>
        </w:numPr>
        <w:shd w:val="clear" w:color="auto" w:fill="auto"/>
        <w:tabs>
          <w:tab w:pos="1089"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единицы измерения количества товара, объема выполняемой работы, оказываемой услуги (при наличии);</w:t>
      </w:r>
    </w:p>
    <w:p>
      <w:pPr>
        <w:pStyle w:val="Style12"/>
        <w:keepNext w:val="0"/>
        <w:keepLines w:val="0"/>
        <w:widowControl w:val="0"/>
        <w:numPr>
          <w:ilvl w:val="0"/>
          <w:numId w:val="3"/>
        </w:numPr>
        <w:shd w:val="clear" w:color="auto" w:fill="auto"/>
        <w:tabs>
          <w:tab w:pos="1094"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описание товара, работы, услуги (при наличии такого описания в позиции).</w:t>
      </w:r>
    </w:p>
    <w:p>
      <w:pPr>
        <w:pStyle w:val="Style12"/>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В силу п.5 - 6 Правил заказчики вправе указать в извещении об осуществлении закупки, приглашении и документации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статьи 33 Федерального закона, которые не предусмотрены в позиции каталога.</w:t>
      </w:r>
    </w:p>
    <w:p>
      <w:pPr>
        <w:pStyle w:val="Style12"/>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В случае предоставления дополнительной информации, предусмотренной пунктом 5 настоящих Правил, заказчик обязан включить в описание товара, работы, услуги обоснование необходимости использования такой информации (при наличии описания товара, работы, услуги в позиции каталога).</w:t>
      </w:r>
    </w:p>
    <w:p>
      <w:pPr>
        <w:pStyle w:val="Style12"/>
        <w:keepNext w:val="0"/>
        <w:keepLines w:val="0"/>
        <w:widowControl w:val="0"/>
        <w:shd w:val="clear" w:color="auto" w:fill="auto"/>
        <w:bidi w:val="0"/>
        <w:spacing w:before="0" w:after="260" w:line="240" w:lineRule="auto"/>
        <w:ind w:left="0" w:right="0" w:firstLine="740"/>
        <w:jc w:val="both"/>
      </w:pPr>
      <w:r>
        <w:rPr>
          <w:color w:val="000000"/>
          <w:spacing w:val="0"/>
          <w:w w:val="100"/>
          <w:position w:val="0"/>
          <w:sz w:val="24"/>
          <w:szCs w:val="24"/>
          <w:shd w:val="clear" w:color="auto" w:fill="auto"/>
          <w:lang w:val="ru-RU" w:eastAsia="ru-RU" w:bidi="ru-RU"/>
        </w:rPr>
        <w:t>Таким образом, Заказчик, закупая товары, обязан включить требования, установленные в КТРУ, в описание закупки, а также в случае установления дополнительных характеристик, обосновать объективную необходимость в таких характеристиках.</w:t>
      </w:r>
    </w:p>
    <w:p>
      <w:pPr>
        <w:pStyle w:val="Style12"/>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Согласно извещению, закупке подлежат шприцы общего назначения. Заказчиком применены позиции Каталога товаров, работ, услуг (далее — КТРУ) 32.50.13.110-00004564, 32.50.13.110-00004568.</w:t>
      </w:r>
    </w:p>
    <w:p>
      <w:pPr>
        <w:pStyle w:val="Style12"/>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Соответствующие позиции КТРУ предполагают выбор обязательных для применения характеристик. Указанные характеристики в полном объеме отражены Заказчиком в описании объекта закупки.</w:t>
      </w:r>
    </w:p>
    <w:p>
      <w:pPr>
        <w:pStyle w:val="Style12"/>
        <w:keepNext w:val="0"/>
        <w:keepLines w:val="0"/>
        <w:widowControl w:val="0"/>
        <w:shd w:val="clear" w:color="auto" w:fill="auto"/>
        <w:bidi w:val="0"/>
        <w:spacing w:before="0" w:after="260" w:line="240" w:lineRule="auto"/>
        <w:ind w:left="0" w:right="0" w:firstLine="740"/>
        <w:jc w:val="both"/>
      </w:pPr>
      <w:r>
        <w:rPr>
          <w:color w:val="000000"/>
          <w:spacing w:val="0"/>
          <w:w w:val="100"/>
          <w:position w:val="0"/>
          <w:sz w:val="24"/>
          <w:szCs w:val="24"/>
          <w:shd w:val="clear" w:color="auto" w:fill="auto"/>
          <w:lang w:val="ru-RU" w:eastAsia="ru-RU" w:bidi="ru-RU"/>
        </w:rPr>
        <w:t>По мнению Заявителя, установленное в описании закупки требование о номинальной вместимости шприца 4 и 8 мл не соответствует ст.33 Закона. При этом, в нарушение Правил, Заказчиком не обосновано использование указанных характеристик, не предусмотренных позициями КТРУ.</w:t>
      </w:r>
    </w:p>
    <w:p>
      <w:pPr>
        <w:pStyle w:val="Style12"/>
        <w:keepNext w:val="0"/>
        <w:keepLines w:val="0"/>
        <w:widowControl w:val="0"/>
        <w:shd w:val="clear" w:color="auto" w:fill="auto"/>
        <w:bidi w:val="0"/>
        <w:spacing w:before="0" w:after="0" w:line="252" w:lineRule="auto"/>
        <w:ind w:left="0" w:right="0" w:firstLine="740"/>
        <w:jc w:val="both"/>
      </w:pPr>
      <w:r>
        <w:rPr>
          <w:color w:val="000000"/>
          <w:spacing w:val="0"/>
          <w:w w:val="100"/>
          <w:position w:val="0"/>
          <w:sz w:val="24"/>
          <w:szCs w:val="24"/>
          <w:shd w:val="clear" w:color="auto" w:fill="auto"/>
          <w:lang w:val="ru-RU" w:eastAsia="ru-RU" w:bidi="ru-RU"/>
        </w:rPr>
        <w:t>В ходе рассмотрения дела установлено следующее.</w:t>
      </w:r>
    </w:p>
    <w:p>
      <w:pPr>
        <w:pStyle w:val="Style12"/>
        <w:keepNext w:val="0"/>
        <w:keepLines w:val="0"/>
        <w:widowControl w:val="0"/>
        <w:shd w:val="clear" w:color="auto" w:fill="auto"/>
        <w:bidi w:val="0"/>
        <w:spacing w:before="0" w:after="0" w:line="252" w:lineRule="auto"/>
        <w:ind w:left="0" w:right="0" w:firstLine="740"/>
        <w:jc w:val="both"/>
      </w:pPr>
      <w:r>
        <w:rPr>
          <w:color w:val="000000"/>
          <w:spacing w:val="0"/>
          <w:w w:val="100"/>
          <w:position w:val="0"/>
          <w:sz w:val="24"/>
          <w:szCs w:val="24"/>
          <w:shd w:val="clear" w:color="auto" w:fill="auto"/>
          <w:lang w:val="ru-RU" w:eastAsia="ru-RU" w:bidi="ru-RU"/>
        </w:rPr>
        <w:t xml:space="preserve">Так, для описания товара по п. 2, 4 описания объекта закупки Заказчиком применены позиции КТРУ 32.50.13.110-00004564, 32.50.13.110-00004568 «Шприц общего назначения», при этом установлена характеристика </w:t>
      </w:r>
      <w:r>
        <w:rPr>
          <w:i/>
          <w:iCs/>
          <w:color w:val="000000"/>
          <w:spacing w:val="0"/>
          <w:w w:val="100"/>
          <w:position w:val="0"/>
          <w:sz w:val="24"/>
          <w:szCs w:val="24"/>
          <w:shd w:val="clear" w:color="auto" w:fill="auto"/>
          <w:lang w:val="ru-RU" w:eastAsia="ru-RU" w:bidi="ru-RU"/>
        </w:rPr>
        <w:t>«номинальная вместимость»,</w:t>
      </w:r>
      <w:r>
        <w:rPr>
          <w:color w:val="000000"/>
          <w:spacing w:val="0"/>
          <w:w w:val="100"/>
          <w:position w:val="0"/>
          <w:sz w:val="24"/>
          <w:szCs w:val="24"/>
          <w:shd w:val="clear" w:color="auto" w:fill="auto"/>
          <w:lang w:val="ru-RU" w:eastAsia="ru-RU" w:bidi="ru-RU"/>
        </w:rPr>
        <w:t xml:space="preserve"> не предусмотренная соответствующими позициями КТРУ со следующим обоснованием:</w:t>
      </w:r>
    </w:p>
    <w:p>
      <w:pPr>
        <w:pStyle w:val="Style12"/>
        <w:keepNext w:val="0"/>
        <w:keepLines w:val="0"/>
        <w:widowControl w:val="0"/>
        <w:shd w:val="clear" w:color="auto" w:fill="auto"/>
        <w:bidi w:val="0"/>
        <w:spacing w:before="0" w:after="0" w:line="252" w:lineRule="auto"/>
        <w:ind w:left="0" w:right="0" w:firstLine="740"/>
        <w:jc w:val="both"/>
      </w:pPr>
      <w:r>
        <w:rPr>
          <w:i/>
          <w:iCs/>
          <w:color w:val="000000"/>
          <w:spacing w:val="0"/>
          <w:w w:val="100"/>
          <w:position w:val="0"/>
          <w:sz w:val="24"/>
          <w:szCs w:val="24"/>
          <w:shd w:val="clear" w:color="auto" w:fill="auto"/>
          <w:lang w:val="ru-RU" w:eastAsia="ru-RU" w:bidi="ru-RU"/>
        </w:rPr>
        <w:t>«Термин «номинальная вместимость» использован в соответствии с ГОСТ 180 7886</w:t>
        <w:softHyphen/>
        <w:t>1-2011 (п.3.1).</w:t>
      </w:r>
    </w:p>
    <w:p>
      <w:pPr>
        <w:pStyle w:val="Style12"/>
        <w:keepNext w:val="0"/>
        <w:keepLines w:val="0"/>
        <w:widowControl w:val="0"/>
        <w:shd w:val="clear" w:color="auto" w:fill="auto"/>
        <w:bidi w:val="0"/>
        <w:spacing w:before="0" w:after="0" w:line="252" w:lineRule="auto"/>
        <w:ind w:left="0" w:right="0" w:firstLine="740"/>
        <w:jc w:val="both"/>
      </w:pPr>
      <w:r>
        <w:rPr>
          <w:color w:val="000000"/>
          <w:spacing w:val="0"/>
          <w:w w:val="100"/>
          <w:position w:val="0"/>
          <w:sz w:val="24"/>
          <w:szCs w:val="24"/>
          <w:shd w:val="clear" w:color="auto" w:fill="auto"/>
          <w:lang w:val="ru-RU" w:eastAsia="ru-RU" w:bidi="ru-RU"/>
        </w:rPr>
        <w:t>Таблицей 1 ГОСТ 180 7886-1-2011 «Межгосударственный стандарт. Шприцы инъекционные однократного применения стерильные. Часть 1. Шприцы для ручного использования» предусмотрены допуски на номинальную вместимость шприцев.</w:t>
      </w:r>
    </w:p>
    <w:p>
      <w:pPr>
        <w:pStyle w:val="Style12"/>
        <w:keepNext w:val="0"/>
        <w:keepLines w:val="0"/>
        <w:widowControl w:val="0"/>
        <w:shd w:val="clear" w:color="auto" w:fill="auto"/>
        <w:bidi w:val="0"/>
        <w:spacing w:before="0" w:after="0" w:line="252" w:lineRule="auto"/>
        <w:ind w:left="0" w:right="0" w:firstLine="740"/>
        <w:jc w:val="both"/>
      </w:pPr>
      <w:r>
        <w:rPr>
          <w:color w:val="000000"/>
          <w:spacing w:val="0"/>
          <w:w w:val="100"/>
          <w:position w:val="0"/>
          <w:sz w:val="24"/>
          <w:szCs w:val="24"/>
          <w:shd w:val="clear" w:color="auto" w:fill="auto"/>
          <w:lang w:val="ru-RU" w:eastAsia="ru-RU" w:bidi="ru-RU"/>
        </w:rPr>
        <w:t xml:space="preserve">Соблюдая требования Закона и Правил, Заказчик включил в описание объекта закупки обоснование необходимости использования характеристики, не предусмотренных </w:t>
      </w:r>
      <w:r>
        <w:rPr>
          <w:color w:val="000000"/>
          <w:spacing w:val="0"/>
          <w:w w:val="100"/>
          <w:position w:val="0"/>
          <w:sz w:val="24"/>
          <w:szCs w:val="24"/>
          <w:shd w:val="clear" w:color="auto" w:fill="auto"/>
          <w:lang w:val="ru-RU" w:eastAsia="ru-RU" w:bidi="ru-RU"/>
        </w:rPr>
        <w:t>примененной позицией КТРУ При этом, значение данной характеристики входит в диапазон, определенный действующим стандартом.</w:t>
      </w:r>
    </w:p>
    <w:p>
      <w:pPr>
        <w:pStyle w:val="Style12"/>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Комиссия Ростовского УФАС России отмечает, что Законом и Правилами не предусмотрены требования к способу, форме изложения и содержанию такого обоснования.</w:t>
      </w:r>
    </w:p>
    <w:p>
      <w:pPr>
        <w:pStyle w:val="Style12"/>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При изложенных обстоятельствах, Комиссия Ростовского УФАС России приходит к выводу о соблюдении Заказчиком требований Закона при формировании описания объекта закупки.</w:t>
      </w:r>
    </w:p>
    <w:p>
      <w:pPr>
        <w:pStyle w:val="Style12"/>
        <w:keepNext w:val="0"/>
        <w:keepLines w:val="0"/>
        <w:widowControl w:val="0"/>
        <w:shd w:val="clear" w:color="auto" w:fill="auto"/>
        <w:bidi w:val="0"/>
        <w:spacing w:before="0" w:after="260" w:line="240" w:lineRule="auto"/>
        <w:ind w:left="0" w:right="0" w:firstLine="740"/>
        <w:jc w:val="both"/>
      </w:pPr>
      <w:r>
        <w:rPr>
          <w:color w:val="000000"/>
          <w:spacing w:val="0"/>
          <w:w w:val="100"/>
          <w:position w:val="0"/>
          <w:sz w:val="24"/>
          <w:szCs w:val="24"/>
          <w:shd w:val="clear" w:color="auto" w:fill="auto"/>
          <w:lang w:val="ru-RU" w:eastAsia="ru-RU" w:bidi="ru-RU"/>
        </w:rPr>
        <w:t>Жалоба признана необоснованной.</w:t>
      </w:r>
    </w:p>
    <w:p>
      <w:pPr>
        <w:pStyle w:val="Style12"/>
        <w:keepNext w:val="0"/>
        <w:keepLines w:val="0"/>
        <w:widowControl w:val="0"/>
        <w:shd w:val="clear" w:color="auto" w:fill="auto"/>
        <w:bidi w:val="0"/>
        <w:spacing w:before="0" w:after="260" w:line="240" w:lineRule="auto"/>
        <w:ind w:left="0" w:right="0" w:firstLine="740"/>
        <w:jc w:val="both"/>
      </w:pPr>
      <w:r>
        <w:rPr>
          <w:color w:val="000000"/>
          <w:spacing w:val="0"/>
          <w:w w:val="100"/>
          <w:position w:val="0"/>
          <w:sz w:val="24"/>
          <w:szCs w:val="24"/>
          <w:shd w:val="clear" w:color="auto" w:fill="auto"/>
          <w:lang w:val="ru-RU" w:eastAsia="ru-RU" w:bidi="ru-RU"/>
        </w:rPr>
        <w:t>В рамках проведения в соответствии с ч.15 ст.99 Закона внеплановой проверки Комиссией Ростовского УФАС России установлено следующее.</w:t>
      </w:r>
    </w:p>
    <w:p>
      <w:pPr>
        <w:pStyle w:val="Style12"/>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Согласно ч.3 ст.14 Закона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включая минимальную обязательную долю закупок российских товаров, в том числе товаров, поставляемых при выполнении закупаемых работ, оказании закупаемых услуг (далее - минимальная доля закупок), и перечень таких товаров, для целей осуществления закупок. В случае,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частью 3 части 14 Закона о контрактной системе запрета или ограничений, заказчики при наличии указанных обстоятельств размещают в единой информационной системе обоснование невозможности соблюдения указанных запрета или ограничений, если такими актами не установлено иное. В таких нормативных правовых актах устанавливается порядок подготовки обоснования невозможности соблюдения указанных запрета или ограничений, а также требования к его содержанию. Определение страны происхождения указанных товаров осуществляется в соответствии с законодательством Российской Федерации.</w:t>
      </w:r>
    </w:p>
    <w:p>
      <w:pPr>
        <w:pStyle w:val="Style12"/>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В перечень отдельных видов медицинских изделий, происходящих из иностранных государств, в отношении которых устанавливаются ограничения допуска для целей осуществления закупок для обеспечения государственных и муниципальных нужд, утвержденный Постановлением №102, включены «Иглы хирургические; инструменты колющие; шприцы-инъекторы медицинские многоразового и одноразового использования с инъекционными иглами и без них» (код ОКПД 32.50.13.110).</w:t>
      </w:r>
    </w:p>
    <w:p>
      <w:pPr>
        <w:pStyle w:val="Style12"/>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В извещении установлено ограничение допуска в соответствии с Постановлением №102.</w:t>
      </w:r>
    </w:p>
    <w:p>
      <w:pPr>
        <w:pStyle w:val="Style12"/>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В свою очередь, закупаемые Заказчиком шприцы общего назначения и шприцы- инъекторы медицинские многоразового и одноразового использования с инъекционными иглами и без них, не могут быть признаны равнозначными, поскольку применение ограничений, предусмотренных Постановлением №102, возможно только в случае соответствия закупаемого медицинского изделия как коду ОКПД2, так и наименованию вида медицинского изделия.</w:t>
      </w:r>
    </w:p>
    <w:p>
      <w:pPr>
        <w:pStyle w:val="Style12"/>
        <w:keepNext w:val="0"/>
        <w:keepLines w:val="0"/>
        <w:widowControl w:val="0"/>
        <w:shd w:val="clear" w:color="auto" w:fill="auto"/>
        <w:bidi w:val="0"/>
        <w:spacing w:before="0" w:after="260" w:line="240" w:lineRule="auto"/>
        <w:ind w:left="0" w:right="0" w:firstLine="740"/>
        <w:jc w:val="both"/>
      </w:pPr>
      <w:r>
        <w:rPr>
          <w:color w:val="000000"/>
          <w:spacing w:val="0"/>
          <w:w w:val="100"/>
          <w:position w:val="0"/>
          <w:sz w:val="24"/>
          <w:szCs w:val="24"/>
          <w:shd w:val="clear" w:color="auto" w:fill="auto"/>
          <w:lang w:val="ru-RU" w:eastAsia="ru-RU" w:bidi="ru-RU"/>
        </w:rPr>
        <w:t>Таким образом, Комиссия Ростовского УФАС России приходит к выводу, что действия Заказчика в части установления ограничения на допуск в соответствии с</w:t>
      </w:r>
      <w:r>
        <w:fldChar w:fldCharType="begin"/>
      </w:r>
      <w:r>
        <w:rPr/>
        <w:instrText> HYPERLINK "https://login.consultant.ru/link/?req=doc&amp;base=LAW&amp;n=421511" </w:instrText>
      </w:r>
      <w:r>
        <w:fldChar w:fldCharType="separate"/>
      </w:r>
      <w:r>
        <w:rPr>
          <w:color w:val="000000"/>
          <w:spacing w:val="0"/>
          <w:w w:val="100"/>
          <w:position w:val="0"/>
          <w:sz w:val="24"/>
          <w:szCs w:val="24"/>
          <w:shd w:val="clear" w:color="auto" w:fill="auto"/>
          <w:lang w:val="ru-RU" w:eastAsia="ru-RU" w:bidi="ru-RU"/>
        </w:rPr>
        <w:t xml:space="preserve"> Постановлением</w:t>
      </w:r>
      <w:r>
        <w:fldChar w:fldCharType="end"/>
      </w:r>
      <w:r>
        <w:rPr>
          <w:color w:val="000000"/>
          <w:spacing w:val="0"/>
          <w:w w:val="100"/>
          <w:position w:val="0"/>
          <w:sz w:val="24"/>
          <w:szCs w:val="24"/>
          <w:shd w:val="clear" w:color="auto" w:fill="auto"/>
          <w:lang w:val="ru-RU" w:eastAsia="ru-RU" w:bidi="ru-RU"/>
        </w:rPr>
        <w:t xml:space="preserve"> №102 противоречат ч.3 ст.14 Закона.</w:t>
      </w:r>
    </w:p>
    <w:p>
      <w:pPr>
        <w:pStyle w:val="Style12"/>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Согласно ч.6 ст.96 Закона в случае установления заказчиком в соответствии с настоящей статьей требования обеспечения исполнения контракта размер такого обеспечения устанавливается в соответствии с настоящим Федеральным законом в извещении об осуществлении закупки, документации о закупке, проекте контракта, приглашении в размере от одной второй процента до тридцати процентов начальной (максимальной) цены контракта, за исключением случаев, предусмотренных частями 6.1 - 6.2-1 настоящей статьи.</w:t>
      </w:r>
    </w:p>
    <w:p>
      <w:pPr>
        <w:pStyle w:val="Style12"/>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В соответствии с ч.6.2 ст.96 Закона если контракт заключается по результатам определения поставщика (подрядчика, исполнителя) в соответствии с пунктом 1 части 1 статьи 30 настоящего Федерального закона и заказчиком установлено требование обеспечения исполнения контракта, размер такого обеспечения устанавливается в соответствии с частями 6 и 6.1 настоящей статьи от цены контракта, по которой в соответствии с настоящим Федеральным законом заключается контракт.</w:t>
      </w:r>
    </w:p>
    <w:p>
      <w:pPr>
        <w:pStyle w:val="Style12"/>
        <w:keepNext w:val="0"/>
        <w:keepLines w:val="0"/>
        <w:widowControl w:val="0"/>
        <w:shd w:val="clear" w:color="auto" w:fill="auto"/>
        <w:bidi w:val="0"/>
        <w:spacing w:before="0" w:after="0" w:line="240" w:lineRule="auto"/>
        <w:ind w:left="0" w:right="0" w:firstLine="840"/>
        <w:jc w:val="both"/>
      </w:pPr>
      <w:r>
        <w:rPr>
          <w:color w:val="000000"/>
          <w:spacing w:val="0"/>
          <w:w w:val="100"/>
          <w:position w:val="0"/>
          <w:sz w:val="24"/>
          <w:szCs w:val="24"/>
          <w:shd w:val="clear" w:color="auto" w:fill="auto"/>
          <w:lang w:val="ru-RU" w:eastAsia="ru-RU" w:bidi="ru-RU"/>
        </w:rPr>
        <w:t>В извещении об осуществлении закупки не установлено преимущество участникам закупок, которыми могут быть только субъекты малого предпринимательства, социально ориентированные некоммерческие организации.</w:t>
      </w:r>
    </w:p>
    <w:p>
      <w:pPr>
        <w:pStyle w:val="Style12"/>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При этом, в проектом контракта определен следующий размер обеспечения исполнения контракта:</w:t>
      </w:r>
    </w:p>
    <w:p>
      <w:pPr>
        <w:pStyle w:val="Style12"/>
        <w:keepNext w:val="0"/>
        <w:keepLines w:val="0"/>
        <w:widowControl w:val="0"/>
        <w:shd w:val="clear" w:color="auto" w:fill="auto"/>
        <w:tabs>
          <w:tab w:leader="underscore" w:pos="8177" w:val="left"/>
          <w:tab w:pos="8247" w:val="left"/>
          <w:tab w:leader="underscore" w:pos="9077" w:val="left"/>
        </w:tabs>
        <w:bidi w:val="0"/>
        <w:spacing w:before="0" w:after="0" w:line="240" w:lineRule="auto"/>
        <w:ind w:left="0" w:right="0" w:firstLine="740"/>
        <w:jc w:val="both"/>
      </w:pPr>
      <w:r>
        <w:rPr>
          <w:i/>
          <w:iCs/>
          <w:color w:val="000000"/>
          <w:spacing w:val="0"/>
          <w:w w:val="100"/>
          <w:position w:val="0"/>
          <w:sz w:val="24"/>
          <w:szCs w:val="24"/>
          <w:shd w:val="clear" w:color="auto" w:fill="auto"/>
          <w:lang w:val="ru-RU" w:eastAsia="ru-RU" w:bidi="ru-RU"/>
        </w:rPr>
        <w:t xml:space="preserve">«10.2. Поставщик при заключении Договора должен предоставить Заказчику обеспечение исполнения Договора в размере 5% цены договора- </w:t>
        <w:tab/>
        <w:tab/>
        <w:t xml:space="preserve">( </w:t>
        <w:tab/>
      </w:r>
      <w:r>
        <w:rPr>
          <w:i/>
          <w:iCs/>
          <w:color w:val="000000"/>
          <w:spacing w:val="0"/>
          <w:w w:val="100"/>
          <w:position w:val="0"/>
          <w:sz w:val="24"/>
          <w:szCs w:val="24"/>
          <w:u w:val="single"/>
          <w:shd w:val="clear" w:color="auto" w:fill="auto"/>
          <w:lang w:val="ru-RU" w:eastAsia="ru-RU" w:bidi="ru-RU"/>
        </w:rPr>
        <w:t>р</w:t>
      </w:r>
      <w:r>
        <w:rPr>
          <w:i/>
          <w:iCs/>
          <w:color w:val="000000"/>
          <w:spacing w:val="0"/>
          <w:w w:val="100"/>
          <w:position w:val="0"/>
          <w:sz w:val="24"/>
          <w:szCs w:val="24"/>
          <w:shd w:val="clear" w:color="auto" w:fill="auto"/>
          <w:lang w:val="ru-RU" w:eastAsia="ru-RU" w:bidi="ru-RU"/>
        </w:rPr>
        <w:t>ублей __</w:t>
      </w:r>
    </w:p>
    <w:p>
      <w:pPr>
        <w:pStyle w:val="Style12"/>
        <w:keepNext w:val="0"/>
        <w:keepLines w:val="0"/>
        <w:widowControl w:val="0"/>
        <w:shd w:val="clear" w:color="auto" w:fill="auto"/>
        <w:bidi w:val="0"/>
        <w:spacing w:before="0" w:after="0" w:line="240" w:lineRule="auto"/>
        <w:ind w:left="0" w:right="0" w:firstLine="0"/>
        <w:jc w:val="both"/>
      </w:pPr>
      <w:r>
        <w:rPr>
          <w:i/>
          <w:iCs/>
          <w:color w:val="000000"/>
          <w:spacing w:val="0"/>
          <w:w w:val="100"/>
          <w:position w:val="0"/>
          <w:sz w:val="24"/>
          <w:szCs w:val="24"/>
          <w:shd w:val="clear" w:color="auto" w:fill="auto"/>
          <w:lang w:val="ru-RU" w:eastAsia="ru-RU" w:bidi="ru-RU"/>
        </w:rPr>
        <w:t>копеек)».</w:t>
      </w:r>
    </w:p>
    <w:p>
      <w:pPr>
        <w:pStyle w:val="Style12"/>
        <w:keepNext w:val="0"/>
        <w:keepLines w:val="0"/>
        <w:widowControl w:val="0"/>
        <w:shd w:val="clear" w:color="auto" w:fill="auto"/>
        <w:bidi w:val="0"/>
        <w:spacing w:before="0" w:after="260" w:line="240" w:lineRule="auto"/>
        <w:ind w:left="0" w:right="0" w:firstLine="740"/>
        <w:jc w:val="both"/>
      </w:pPr>
      <w:r>
        <w:rPr>
          <w:color w:val="000000"/>
          <w:spacing w:val="0"/>
          <w:w w:val="100"/>
          <w:position w:val="0"/>
          <w:sz w:val="24"/>
          <w:szCs w:val="24"/>
          <w:shd w:val="clear" w:color="auto" w:fill="auto"/>
          <w:lang w:val="ru-RU" w:eastAsia="ru-RU" w:bidi="ru-RU"/>
        </w:rPr>
        <w:t>Вышеуказанные действия Заказчика нарушают ч.6 ст.96 Закона</w:t>
      </w:r>
    </w:p>
    <w:p>
      <w:pPr>
        <w:pStyle w:val="Style12"/>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В соответствии п.5 ч.2 ст.42 Закона извещение об осуществлении закупки, если иное не предусмотрено настоящим Федеральным законом, должно содержать проект контракта.</w:t>
      </w:r>
    </w:p>
    <w:p>
      <w:pPr>
        <w:pStyle w:val="Style12"/>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Согласно ч.16 ст.94 Закона, в случае обмена документами при применении мер ответственности и совершении иных действий в связи с нарушением поставщиком (подрядчиком, исполнителем) или заказчиком условий контракта в отношении контракта, заключенного по результатам электронных процедур, закрытых электронных процедур (за исключением закрытых электронных процедур, проводимых федеральными органами исполнительной власти, осуществляющими функции по выработке и реализации государственной политики в области обороны, в области государственной охраны, государственного управления в области обеспечения безопасности Российской Федерации, в сфере деятельности войск национальной гвардии Российской Федерации, подведомственными им государственными учреждениями, государственными унитарными предприятиями, в случае, предусмотренном пунктом 5 части 11 статьи 24 настоящего Федерального закона), такой обмен осуществляется с использованием единой информационной системы путем направления электронных уведомлений. Такие уведомления формируются с использованием единой информационной системы, подписываются усиленной электронной подписью лица, имеющего право действовать от имени заказчика, поставщика (подрядчика, исполнителя), и размещаются в единой информационной системе без размещения на официальном сайте.</w:t>
      </w:r>
    </w:p>
    <w:p>
      <w:pPr>
        <w:pStyle w:val="Style12"/>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Таким образом, вышеуказанной нормой Закона не предусмотрена возможность обмена документами при применении мер ответственности любыми иными способами помимо формирования уведомлений с помощью единой информационной системы.</w:t>
      </w:r>
    </w:p>
    <w:p>
      <w:pPr>
        <w:pStyle w:val="Style12"/>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Между тем, в нарушение ч.2 ст.42 Закона, соответствующий порядок взаимодействия сторон при применении мер ответственности и совершении иных действий в связи с нарушением поставщиком (подрядчиком, исполнителем) или заказчиком условий контракта проектом контракта не определен.</w:t>
      </w:r>
    </w:p>
    <w:p>
      <w:pPr>
        <w:pStyle w:val="Style12"/>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На основании Постановления Правительства РФ от 26.08.2013 г. №728, в соответствии с ч.15 ст.99, ч.8 ст.106 Закона,</w:t>
      </w:r>
    </w:p>
    <w:p>
      <w:pPr>
        <w:pStyle w:val="Style12"/>
        <w:keepNext w:val="0"/>
        <w:keepLines w:val="0"/>
        <w:widowControl w:val="0"/>
        <w:shd w:val="clear" w:color="auto" w:fill="auto"/>
        <w:bidi w:val="0"/>
        <w:spacing w:before="0" w:after="260" w:line="240" w:lineRule="auto"/>
        <w:ind w:left="0" w:right="0" w:firstLine="0"/>
        <w:jc w:val="center"/>
      </w:pPr>
      <w:r>
        <w:rPr>
          <w:b/>
          <w:bCs/>
          <w:color w:val="000000"/>
          <w:spacing w:val="0"/>
          <w:w w:val="100"/>
          <w:position w:val="0"/>
          <w:sz w:val="24"/>
          <w:szCs w:val="24"/>
          <w:shd w:val="clear" w:color="auto" w:fill="auto"/>
          <w:lang w:val="ru-RU" w:eastAsia="ru-RU" w:bidi="ru-RU"/>
        </w:rPr>
        <w:t>РЕШИЛА:</w:t>
      </w:r>
    </w:p>
    <w:p>
      <w:pPr>
        <w:pStyle w:val="Style12"/>
        <w:keepNext w:val="0"/>
        <w:keepLines w:val="0"/>
        <w:widowControl w:val="0"/>
        <w:numPr>
          <w:ilvl w:val="0"/>
          <w:numId w:val="5"/>
        </w:numPr>
        <w:shd w:val="clear" w:color="auto" w:fill="auto"/>
        <w:tabs>
          <w:tab w:pos="1416"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Признать жалобу ООО «Строительно-Отделочная Фирма «БаРо» необоснованной.</w:t>
      </w:r>
    </w:p>
    <w:p>
      <w:pPr>
        <w:pStyle w:val="Style12"/>
        <w:keepNext w:val="0"/>
        <w:keepLines w:val="0"/>
        <w:widowControl w:val="0"/>
        <w:numPr>
          <w:ilvl w:val="0"/>
          <w:numId w:val="5"/>
        </w:numPr>
        <w:shd w:val="clear" w:color="auto" w:fill="auto"/>
        <w:tabs>
          <w:tab w:pos="2136"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Признать Заказчика нарушившим ч.3 ст.14, ч.2 ст.42, ч.6 ст.96 Закона.</w:t>
      </w:r>
    </w:p>
    <w:p>
      <w:pPr>
        <w:pStyle w:val="Style12"/>
        <w:keepNext w:val="0"/>
        <w:keepLines w:val="0"/>
        <w:widowControl w:val="0"/>
        <w:numPr>
          <w:ilvl w:val="0"/>
          <w:numId w:val="5"/>
        </w:numPr>
        <w:shd w:val="clear" w:color="auto" w:fill="auto"/>
        <w:tabs>
          <w:tab w:pos="1416" w:val="left"/>
          <w:tab w:pos="4272"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Выдать обязательное для исполнения предписание об отмене всех сформированных протоколов, внесении изменений в извещение в соответствии с требованиями Закона</w:t>
        <w:tab/>
        <w:t>и с учетом настоящего решения.</w:t>
      </w:r>
    </w:p>
    <w:p>
      <w:pPr>
        <w:pStyle w:val="Style12"/>
        <w:keepNext w:val="0"/>
        <w:keepLines w:val="0"/>
        <w:widowControl w:val="0"/>
        <w:numPr>
          <w:ilvl w:val="0"/>
          <w:numId w:val="5"/>
        </w:numPr>
        <w:shd w:val="clear" w:color="auto" w:fill="auto"/>
        <w:tabs>
          <w:tab w:pos="1416" w:val="left"/>
        </w:tabs>
        <w:bidi w:val="0"/>
        <w:spacing w:before="0" w:after="260" w:line="240" w:lineRule="auto"/>
        <w:ind w:left="0" w:right="0" w:firstLine="720"/>
        <w:jc w:val="both"/>
      </w:pPr>
      <w:r>
        <w:rPr>
          <w:color w:val="000000"/>
          <w:spacing w:val="0"/>
          <w:w w:val="100"/>
          <w:position w:val="0"/>
          <w:sz w:val="24"/>
          <w:szCs w:val="24"/>
          <w:shd w:val="clear" w:color="auto" w:fill="auto"/>
          <w:lang w:val="ru-RU" w:eastAsia="ru-RU" w:bidi="ru-RU"/>
        </w:rPr>
        <w:t>Рассмотреть вопрос о привлечении виновных должностных лиц Заказчика к административной ответственности.</w:t>
      </w:r>
    </w:p>
    <w:p>
      <w:pPr>
        <w:pStyle w:val="Style2"/>
        <w:keepNext w:val="0"/>
        <w:keepLines w:val="0"/>
        <w:widowControl w:val="0"/>
        <w:shd w:val="clear" w:color="auto" w:fill="auto"/>
        <w:bidi w:val="0"/>
        <w:spacing w:before="0" w:after="260" w:line="257" w:lineRule="auto"/>
        <w:ind w:left="0" w:right="0" w:firstLine="720"/>
        <w:jc w:val="both"/>
      </w:pPr>
      <w:r>
        <w:rPr>
          <w:color w:val="000000"/>
          <w:spacing w:val="0"/>
          <w:w w:val="100"/>
          <w:position w:val="0"/>
          <w:shd w:val="clear" w:color="auto" w:fill="auto"/>
          <w:lang w:val="ru-RU" w:eastAsia="ru-RU" w:bidi="ru-RU"/>
        </w:rPr>
        <w:t>В силу ч.9 ст.106 Закона решение может быть обжаловано в судебном порядке в течение трех месяцев со дня его принятия.</w:t>
      </w:r>
    </w:p>
    <w:p>
      <w:pPr>
        <w:pStyle w:val="Style12"/>
        <w:keepNext w:val="0"/>
        <w:keepLines w:val="0"/>
        <w:widowControl w:val="0"/>
        <w:shd w:val="clear" w:color="auto" w:fill="auto"/>
        <w:tabs>
          <w:tab w:pos="8333" w:val="left"/>
        </w:tabs>
        <w:bidi w:val="0"/>
        <w:spacing w:before="0" w:after="160" w:line="240" w:lineRule="auto"/>
        <w:ind w:left="0" w:right="0" w:firstLine="0"/>
        <w:jc w:val="both"/>
      </w:pPr>
      <w:r>
        <w:rPr>
          <w:color w:val="000000"/>
          <w:spacing w:val="0"/>
          <w:w w:val="100"/>
          <w:position w:val="0"/>
          <w:sz w:val="24"/>
          <w:szCs w:val="24"/>
          <w:shd w:val="clear" w:color="auto" w:fill="auto"/>
          <w:lang w:val="ru-RU" w:eastAsia="ru-RU" w:bidi="ru-RU"/>
        </w:rPr>
        <w:t>Председатель комиссии</w:t>
      </w:r>
      <w:r>
        <w:rPr>
          <w:color w:val="000000"/>
          <w:spacing w:val="0"/>
          <w:w w:val="100"/>
          <w:position w:val="0"/>
          <w:sz w:val="24"/>
          <w:szCs w:val="24"/>
          <w:shd w:val="clear" w:color="auto" w:fill="auto"/>
          <w:lang w:val="ru-RU" w:eastAsia="ru-RU" w:bidi="ru-RU"/>
        </w:rPr>
        <w:tab/>
      </w:r>
      <w:r>
        <w:rPr>
          <w:color w:val="000000"/>
          <w:spacing w:val="0"/>
          <w:w w:val="100"/>
          <w:position w:val="0"/>
          <w:sz w:val="24"/>
          <w:szCs w:val="24"/>
          <w:shd w:val="clear" w:color="auto" w:fill="auto"/>
          <w:lang w:val="ru-RU" w:eastAsia="ru-RU" w:bidi="ru-RU"/>
        </w:rPr>
        <w:t>М.А. Благодарев</w:t>
      </w:r>
    </w:p>
    <w:p>
      <w:pPr>
        <w:pStyle w:val="Style20"/>
        <w:keepNext w:val="0"/>
        <w:keepLines w:val="0"/>
        <w:widowControl w:val="0"/>
        <w:shd w:val="clear" w:color="auto" w:fill="auto"/>
        <w:bidi w:val="0"/>
        <w:spacing w:before="0" w:after="80"/>
        <w:ind w:right="0" w:firstLine="0"/>
        <w:jc w:val="both"/>
      </w:pPr>
      <w:r>
        <w:rPr>
          <w:spacing w:val="0"/>
          <w:w w:val="100"/>
          <w:position w:val="0"/>
          <w:shd w:val="clear" w:color="auto" w:fill="auto"/>
          <w:lang w:val="ru-RU" w:eastAsia="ru-RU" w:bidi="ru-RU"/>
        </w:rPr>
        <w:t>Мост для подписи:</w:t>
      </w:r>
    </w:p>
    <w:p>
      <w:pPr>
        <w:pStyle w:val="Style22"/>
        <w:keepNext/>
        <w:keepLines/>
        <w:widowControl w:val="0"/>
        <w:shd w:val="clear" w:color="auto" w:fill="auto"/>
        <w:bidi w:val="0"/>
        <w:spacing w:before="0" w:after="80" w:line="240" w:lineRule="auto"/>
        <w:ind w:right="0" w:firstLine="0"/>
        <w:jc w:val="both"/>
      </w:pPr>
      <w:bookmarkStart w:id="0" w:name="bookmark0"/>
      <w:r>
        <w:rPr>
          <w:spacing w:val="0"/>
          <w:w w:val="100"/>
          <w:position w:val="0"/>
          <w:shd w:val="clear" w:color="auto" w:fill="auto"/>
          <w:lang w:val="ru-RU" w:eastAsia="ru-RU" w:bidi="ru-RU"/>
        </w:rPr>
        <w:t>Биа г одарин М. А.</w:t>
      </w:r>
      <w:bookmarkEnd w:id="0"/>
    </w:p>
    <w:p>
      <w:pPr>
        <w:pStyle w:val="Style12"/>
        <w:keepNext w:val="0"/>
        <w:keepLines w:val="0"/>
        <w:widowControl w:val="0"/>
        <w:shd w:val="clear" w:color="auto" w:fill="auto"/>
        <w:bidi w:val="0"/>
        <w:spacing w:before="0" w:after="80" w:line="240" w:lineRule="auto"/>
        <w:ind w:left="0" w:right="0" w:firstLine="0"/>
        <w:jc w:val="left"/>
      </w:pPr>
      <w:r>
        <w:rPr>
          <w:color w:val="000000"/>
          <w:spacing w:val="0"/>
          <w:w w:val="100"/>
          <w:position w:val="0"/>
          <w:sz w:val="24"/>
          <w:szCs w:val="24"/>
          <w:shd w:val="clear" w:color="auto" w:fill="auto"/>
          <w:lang w:val="ru-RU" w:eastAsia="ru-RU" w:bidi="ru-RU"/>
        </w:rPr>
        <w:t>Члены комиссии:</w:t>
      </w:r>
    </w:p>
    <w:p>
      <w:pPr>
        <w:pStyle w:val="Style12"/>
        <w:keepNext w:val="0"/>
        <w:keepLines w:val="0"/>
        <w:widowControl w:val="0"/>
        <w:shd w:val="clear" w:color="auto" w:fill="auto"/>
        <w:bidi w:val="0"/>
        <w:spacing w:before="0" w:after="160" w:line="240" w:lineRule="auto"/>
        <w:ind w:left="0" w:right="0" w:firstLine="0"/>
        <w:jc w:val="right"/>
      </w:pPr>
      <w:r>
        <w:rPr>
          <w:color w:val="000000"/>
          <w:spacing w:val="0"/>
          <w:w w:val="100"/>
          <w:position w:val="0"/>
          <w:sz w:val="24"/>
          <w:szCs w:val="24"/>
          <w:shd w:val="clear" w:color="auto" w:fill="auto"/>
          <w:lang w:val="ru-RU" w:eastAsia="ru-RU" w:bidi="ru-RU"/>
        </w:rPr>
        <w:t>А.С. Вишнякова</w:t>
      </w:r>
    </w:p>
    <w:p>
      <w:pPr>
        <w:pStyle w:val="Style20"/>
        <w:keepNext w:val="0"/>
        <w:keepLines w:val="0"/>
        <w:widowControl w:val="0"/>
        <w:shd w:val="clear" w:color="auto" w:fill="auto"/>
        <w:bidi w:val="0"/>
        <w:spacing w:before="0" w:after="80"/>
        <w:ind w:right="0" w:firstLine="0"/>
        <w:jc w:val="both"/>
      </w:pPr>
      <w:r>
        <w:rPr>
          <w:spacing w:val="0"/>
          <w:w w:val="100"/>
          <w:position w:val="0"/>
          <w:shd w:val="clear" w:color="auto" w:fill="auto"/>
          <w:lang w:val="ru-RU" w:eastAsia="ru-RU" w:bidi="ru-RU"/>
        </w:rPr>
        <w:t>Мест для подписи:</w:t>
      </w:r>
    </w:p>
    <w:p>
      <w:pPr>
        <w:pStyle w:val="Style22"/>
        <w:keepNext/>
        <w:keepLines/>
        <w:widowControl w:val="0"/>
        <w:shd w:val="clear" w:color="auto" w:fill="auto"/>
        <w:bidi w:val="0"/>
        <w:spacing w:before="0" w:line="240" w:lineRule="auto"/>
        <w:ind w:right="0" w:firstLine="0"/>
        <w:jc w:val="both"/>
      </w:pPr>
      <w:bookmarkStart w:id="2" w:name="bookmark2"/>
      <w:r>
        <w:rPr>
          <w:spacing w:val="0"/>
          <w:w w:val="100"/>
          <w:position w:val="0"/>
          <w:shd w:val="clear" w:color="auto" w:fill="auto"/>
          <w:lang w:val="ru-RU" w:eastAsia="ru-RU" w:bidi="ru-RU"/>
        </w:rPr>
        <w:t>Вишнякова А. С</w:t>
      </w:r>
      <w:bookmarkEnd w:id="2"/>
    </w:p>
    <w:p>
      <w:pPr>
        <w:pStyle w:val="Style12"/>
        <w:keepNext w:val="0"/>
        <w:keepLines w:val="0"/>
        <w:widowControl w:val="0"/>
        <w:shd w:val="clear" w:color="auto" w:fill="auto"/>
        <w:bidi w:val="0"/>
        <w:spacing w:before="0" w:after="160" w:line="240" w:lineRule="auto"/>
        <w:ind w:left="0" w:right="0" w:firstLine="0"/>
        <w:jc w:val="right"/>
      </w:pPr>
      <w:r>
        <w:rPr>
          <w:color w:val="000000"/>
          <w:spacing w:val="0"/>
          <w:w w:val="100"/>
          <w:position w:val="0"/>
          <w:sz w:val="24"/>
          <w:szCs w:val="24"/>
          <w:shd w:val="clear" w:color="auto" w:fill="auto"/>
          <w:lang w:val="ru-RU" w:eastAsia="ru-RU" w:bidi="ru-RU"/>
        </w:rPr>
        <w:t>А.А. Вертий</w:t>
      </w:r>
    </w:p>
    <w:p>
      <w:pPr>
        <w:pStyle w:val="Style20"/>
        <w:keepNext w:val="0"/>
        <w:keepLines w:val="0"/>
        <w:widowControl w:val="0"/>
        <w:shd w:val="clear" w:color="auto" w:fill="auto"/>
        <w:bidi w:val="0"/>
        <w:spacing w:before="0" w:after="120" w:line="240" w:lineRule="auto"/>
        <w:ind w:right="0" w:firstLine="0"/>
        <w:jc w:val="both"/>
      </w:pPr>
      <w:r>
        <w:rPr>
          <w:spacing w:val="0"/>
          <w:w w:val="100"/>
          <w:position w:val="0"/>
          <w:shd w:val="clear" w:color="auto" w:fill="auto"/>
          <w:lang w:val="ru-RU" w:eastAsia="ru-RU" w:bidi="ru-RU"/>
        </w:rPr>
        <w:t>Мест для подписи</w:t>
      </w:r>
    </w:p>
    <w:p>
      <w:pPr>
        <w:pStyle w:val="Style22"/>
        <w:keepNext/>
        <w:keepLines/>
        <w:widowControl w:val="0"/>
        <w:shd w:val="clear" w:color="auto" w:fill="auto"/>
        <w:bidi w:val="0"/>
        <w:spacing w:before="0" w:after="4220" w:line="240" w:lineRule="auto"/>
        <w:ind w:right="0" w:firstLine="0"/>
        <w:jc w:val="both"/>
      </w:pPr>
      <w:bookmarkStart w:id="4" w:name="bookmark4"/>
      <w:r>
        <w:rPr>
          <w:spacing w:val="0"/>
          <w:w w:val="100"/>
          <w:position w:val="0"/>
          <w:shd w:val="clear" w:color="auto" w:fill="auto"/>
          <w:lang w:val="ru-RU" w:eastAsia="ru-RU" w:bidi="ru-RU"/>
        </w:rPr>
        <w:t>Верти А. А.</w:t>
      </w:r>
      <w:bookmarkEnd w:id="4"/>
    </w:p>
    <w:p>
      <w:pPr>
        <w:pStyle w:val="Style24"/>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Исп.Вертий А.А.</w:t>
      </w:r>
    </w:p>
    <w:p>
      <w:pPr>
        <w:pStyle w:val="Style24"/>
        <w:keepNext w:val="0"/>
        <w:keepLines w:val="0"/>
        <w:widowControl w:val="0"/>
        <w:shd w:val="clear" w:color="auto" w:fill="auto"/>
        <w:bidi w:val="0"/>
        <w:spacing w:before="0" w:after="160" w:line="240" w:lineRule="auto"/>
        <w:ind w:left="0" w:right="0" w:firstLine="0"/>
        <w:jc w:val="left"/>
      </w:pPr>
      <w:r>
        <w:rPr>
          <w:color w:val="000000"/>
          <w:spacing w:val="0"/>
          <w:w w:val="100"/>
          <w:position w:val="0"/>
          <w:shd w:val="clear" w:color="auto" w:fill="auto"/>
          <w:lang w:val="ru-RU" w:eastAsia="ru-RU" w:bidi="ru-RU"/>
        </w:rPr>
        <w:t>тел.(863) 240-86-88, вн.061-132</w:t>
      </w:r>
    </w:p>
    <w:sectPr>
      <w:footerReference w:type="default" r:id="rId8"/>
      <w:footnotePr>
        <w:pos w:val="pageBottom"/>
        <w:numFmt w:val="decimal"/>
        <w:numRestart w:val="continuous"/>
      </w:footnotePr>
      <w:pgSz w:w="11900" w:h="16840"/>
      <w:pgMar w:top="1110" w:right="532" w:bottom="1352" w:left="1101" w:header="682"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723900</wp:posOffset>
              </wp:positionH>
              <wp:positionV relativeFrom="page">
                <wp:posOffset>10013315</wp:posOffset>
              </wp:positionV>
              <wp:extent cx="572770" cy="100330"/>
              <wp:wrapNone/>
              <wp:docPr id="7" name="Shape 7"/>
              <a:graphic xmlns:a="http://schemas.openxmlformats.org/drawingml/2006/main">
                <a:graphicData uri="http://schemas.microsoft.com/office/word/2010/wordprocessingShape">
                  <wps:wsp>
                    <wps:cNvSpPr txBox="1"/>
                    <wps:spPr>
                      <a:xfrm>
                        <a:ext cx="572770" cy="100330"/>
                      </a:xfrm>
                      <a:prstGeom prst="rect"/>
                      <a:noFill/>
                    </wps:spPr>
                    <wps:txbx>
                      <w:txbxContent>
                        <w:p>
                          <w:pPr>
                            <w:pStyle w:val="Style1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2024-540</w:t>
                          </w:r>
                        </w:p>
                      </w:txbxContent>
                    </wps:txbx>
                    <wps:bodyPr wrap="none" lIns="0" tIns="0" rIns="0" bIns="0">
                      <a:spAutoFit/>
                    </wps:bodyPr>
                  </wps:wsp>
                </a:graphicData>
              </a:graphic>
            </wp:anchor>
          </w:drawing>
        </mc:Choice>
        <mc:Fallback>
          <w:pict>
            <v:shape id="_x0000_s1033" type="#_x0000_t202" style="position:absolute;margin-left:57.pt;margin-top:788.45000000000005pt;width:45.100000000000001pt;height:7.9000000000000004pt;z-index:-188744063;mso-wrap-style:none;mso-wrap-distance-left:0;mso-wrap-distance-right:0;mso-position-horizontal-relative:page;mso-position-vertical-relative:page" wrapcoords="0 0" filled="f" stroked="f">
              <v:textbox style="mso-fit-shape-to-text:t" inset="0,0,0,0">
                <w:txbxContent>
                  <w:p>
                    <w:pPr>
                      <w:pStyle w:val="Style1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2024-540</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3" behindDoc="1" locked="0" layoutInCell="1" allowOverlap="1">
              <wp:simplePos x="0" y="0"/>
              <wp:positionH relativeFrom="page">
                <wp:posOffset>725170</wp:posOffset>
              </wp:positionH>
              <wp:positionV relativeFrom="page">
                <wp:posOffset>10016490</wp:posOffset>
              </wp:positionV>
              <wp:extent cx="3267710" cy="103505"/>
              <wp:wrapNone/>
              <wp:docPr id="11" name="Shape 11"/>
              <a:graphic xmlns:a="http://schemas.openxmlformats.org/drawingml/2006/main">
                <a:graphicData uri="http://schemas.microsoft.com/office/word/2010/wordprocessingShape">
                  <wps:wsp>
                    <wps:cNvSpPr txBox="1"/>
                    <wps:spPr>
                      <a:xfrm>
                        <a:ext cx="3267710" cy="103505"/>
                      </a:xfrm>
                      <a:prstGeom prst="rect"/>
                      <a:noFill/>
                    </wps:spPr>
                    <wps:txbx>
                      <w:txbxContent>
                        <w:p>
                          <w:pPr>
                            <w:pStyle w:val="Style15"/>
                            <w:keepNext w:val="0"/>
                            <w:keepLines w:val="0"/>
                            <w:widowControl w:val="0"/>
                            <w:shd w:val="clear" w:color="auto" w:fill="auto"/>
                            <w:tabs>
                              <w:tab w:pos="5146" w:val="right"/>
                            </w:tabs>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2024-540</w:t>
                            <w:tab/>
                          </w:r>
                          <w:fldSimple w:instr=" PAGE \* MERGEFORMAT ">
                            <w:r>
                              <w:rPr>
                                <w:color w:val="000000"/>
                                <w:spacing w:val="0"/>
                                <w:w w:val="100"/>
                                <w:position w:val="0"/>
                                <w:sz w:val="24"/>
                                <w:szCs w:val="24"/>
                                <w:shd w:val="clear" w:color="auto" w:fill="auto"/>
                                <w:lang w:val="ru-RU" w:eastAsia="ru-RU" w:bidi="ru-RU"/>
                              </w:rPr>
                              <w:t>#</w:t>
                            </w:r>
                          </w:fldSimple>
                        </w:p>
                      </w:txbxContent>
                    </wps:txbx>
                    <wps:bodyPr lIns="0" tIns="0" rIns="0" bIns="0">
                      <a:spAutoFit/>
                    </wps:bodyPr>
                  </wps:wsp>
                </a:graphicData>
              </a:graphic>
            </wp:anchor>
          </w:drawing>
        </mc:Choice>
        <mc:Fallback>
          <w:pict>
            <v:shape id="_x0000_s1037" type="#_x0000_t202" style="position:absolute;margin-left:57.100000000000001pt;margin-top:788.70000000000005pt;width:257.30000000000001pt;height:8.1500000000000004pt;z-index:-188744060;mso-wrap-distance-left:0;mso-wrap-distance-right:0;mso-position-horizontal-relative:page;mso-position-vertical-relative:page" wrapcoords="0 0" filled="f" stroked="f">
              <v:textbox style="mso-fit-shape-to-text:t" inset="0,0,0,0">
                <w:txbxContent>
                  <w:p>
                    <w:pPr>
                      <w:pStyle w:val="Style15"/>
                      <w:keepNext w:val="0"/>
                      <w:keepLines w:val="0"/>
                      <w:widowControl w:val="0"/>
                      <w:shd w:val="clear" w:color="auto" w:fill="auto"/>
                      <w:tabs>
                        <w:tab w:pos="5146" w:val="right"/>
                      </w:tabs>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2024-540</w:t>
                      <w:tab/>
                    </w: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2">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2)_"/>
    <w:basedOn w:val="DefaultParagraphFont"/>
    <w:link w:val="Style2"/>
    <w:rPr>
      <w:rFonts w:ascii="Times New Roman" w:eastAsia="Times New Roman" w:hAnsi="Times New Roman" w:cs="Times New Roman"/>
      <w:b w:val="0"/>
      <w:bCs w:val="0"/>
      <w:i w:val="0"/>
      <w:iCs w:val="0"/>
      <w:smallCaps w:val="0"/>
      <w:strike w:val="0"/>
      <w:sz w:val="20"/>
      <w:szCs w:val="20"/>
      <w:u w:val="none"/>
    </w:rPr>
  </w:style>
  <w:style w:type="character" w:customStyle="1" w:styleId="CharStyle7">
    <w:name w:val="Основной текст (3)_"/>
    <w:basedOn w:val="DefaultParagraphFont"/>
    <w:link w:val="Style6"/>
    <w:rPr>
      <w:rFonts w:ascii="Times New Roman" w:eastAsia="Times New Roman" w:hAnsi="Times New Roman" w:cs="Times New Roman"/>
      <w:b w:val="0"/>
      <w:bCs w:val="0"/>
      <w:i w:val="0"/>
      <w:iCs w:val="0"/>
      <w:smallCaps w:val="0"/>
      <w:strike w:val="0"/>
      <w:color w:val="4561A3"/>
      <w:sz w:val="16"/>
      <w:szCs w:val="16"/>
      <w:u w:val="none"/>
    </w:rPr>
  </w:style>
  <w:style w:type="character" w:customStyle="1" w:styleId="CharStyle9">
    <w:name w:val="Основной текст (6)_"/>
    <w:basedOn w:val="DefaultParagraphFont"/>
    <w:link w:val="Style8"/>
    <w:rPr>
      <w:rFonts w:ascii="Arial" w:eastAsia="Arial" w:hAnsi="Arial" w:cs="Arial"/>
      <w:b/>
      <w:bCs/>
      <w:i w:val="0"/>
      <w:iCs w:val="0"/>
      <w:smallCaps w:val="0"/>
      <w:strike w:val="0"/>
      <w:color w:val="202020"/>
      <w:sz w:val="10"/>
      <w:szCs w:val="10"/>
      <w:u w:val="none"/>
    </w:rPr>
  </w:style>
  <w:style w:type="character" w:customStyle="1" w:styleId="CharStyle13">
    <w:name w:val="Основной текст_"/>
    <w:basedOn w:val="DefaultParagraphFont"/>
    <w:link w:val="Style12"/>
    <w:rPr>
      <w:rFonts w:ascii="Times New Roman" w:eastAsia="Times New Roman" w:hAnsi="Times New Roman" w:cs="Times New Roman"/>
      <w:b w:val="0"/>
      <w:bCs w:val="0"/>
      <w:i w:val="0"/>
      <w:iCs w:val="0"/>
      <w:smallCaps w:val="0"/>
      <w:strike w:val="0"/>
      <w:u w:val="none"/>
    </w:rPr>
  </w:style>
  <w:style w:type="character" w:customStyle="1" w:styleId="CharStyle16">
    <w:name w:val="Колонтитул (2)_"/>
    <w:basedOn w:val="DefaultParagraphFont"/>
    <w:link w:val="Style15"/>
    <w:rPr>
      <w:rFonts w:ascii="Times New Roman" w:eastAsia="Times New Roman" w:hAnsi="Times New Roman" w:cs="Times New Roman"/>
      <w:b w:val="0"/>
      <w:bCs w:val="0"/>
      <w:i w:val="0"/>
      <w:iCs w:val="0"/>
      <w:smallCaps w:val="0"/>
      <w:strike w:val="0"/>
      <w:sz w:val="20"/>
      <w:szCs w:val="20"/>
      <w:u w:val="none"/>
    </w:rPr>
  </w:style>
  <w:style w:type="character" w:customStyle="1" w:styleId="CharStyle21">
    <w:name w:val="Основной текст (4)_"/>
    <w:basedOn w:val="DefaultParagraphFont"/>
    <w:link w:val="Style20"/>
    <w:rPr>
      <w:rFonts w:ascii="Arial" w:eastAsia="Arial" w:hAnsi="Arial" w:cs="Arial"/>
      <w:b/>
      <w:bCs/>
      <w:i w:val="0"/>
      <w:iCs w:val="0"/>
      <w:smallCaps w:val="0"/>
      <w:strike w:val="0"/>
      <w:color w:val="898889"/>
      <w:sz w:val="22"/>
      <w:szCs w:val="22"/>
      <w:u w:val="none"/>
    </w:rPr>
  </w:style>
  <w:style w:type="character" w:customStyle="1" w:styleId="CharStyle23">
    <w:name w:val="Заголовок №1_"/>
    <w:basedOn w:val="DefaultParagraphFont"/>
    <w:link w:val="Style22"/>
    <w:rPr>
      <w:rFonts w:ascii="Arial" w:eastAsia="Arial" w:hAnsi="Arial" w:cs="Arial"/>
      <w:b/>
      <w:bCs/>
      <w:i w:val="0"/>
      <w:iCs w:val="0"/>
      <w:smallCaps w:val="0"/>
      <w:strike w:val="0"/>
      <w:color w:val="898889"/>
      <w:sz w:val="26"/>
      <w:szCs w:val="26"/>
      <w:u w:val="none"/>
    </w:rPr>
  </w:style>
  <w:style w:type="character" w:customStyle="1" w:styleId="CharStyle25">
    <w:name w:val="Основной текст (5)_"/>
    <w:basedOn w:val="DefaultParagraphFont"/>
    <w:link w:val="Style24"/>
    <w:rPr>
      <w:rFonts w:ascii="Times New Roman" w:eastAsia="Times New Roman" w:hAnsi="Times New Roman" w:cs="Times New Roman"/>
      <w:b w:val="0"/>
      <w:bCs w:val="0"/>
      <w:i w:val="0"/>
      <w:iCs w:val="0"/>
      <w:smallCaps w:val="0"/>
      <w:strike w:val="0"/>
      <w:sz w:val="18"/>
      <w:szCs w:val="18"/>
      <w:u w:val="none"/>
    </w:rPr>
  </w:style>
  <w:style w:type="paragraph" w:customStyle="1" w:styleId="Style2">
    <w:name w:val="Основной текст (2)"/>
    <w:basedOn w:val="Normal"/>
    <w:link w:val="CharStyle3"/>
    <w:pPr>
      <w:widowControl w:val="0"/>
      <w:shd w:val="clear" w:color="auto" w:fill="auto"/>
      <w:spacing w:after="200" w:line="247" w:lineRule="auto"/>
      <w:jc w:val="center"/>
    </w:pPr>
    <w:rPr>
      <w:rFonts w:ascii="Times New Roman" w:eastAsia="Times New Roman" w:hAnsi="Times New Roman" w:cs="Times New Roman"/>
      <w:b w:val="0"/>
      <w:bCs w:val="0"/>
      <w:i w:val="0"/>
      <w:iCs w:val="0"/>
      <w:smallCaps w:val="0"/>
      <w:strike w:val="0"/>
      <w:sz w:val="20"/>
      <w:szCs w:val="20"/>
      <w:u w:val="none"/>
    </w:rPr>
  </w:style>
  <w:style w:type="paragraph" w:customStyle="1" w:styleId="Style6">
    <w:name w:val="Основной текст (3)"/>
    <w:basedOn w:val="Normal"/>
    <w:link w:val="CharStyle7"/>
    <w:pPr>
      <w:widowControl w:val="0"/>
      <w:shd w:val="clear" w:color="auto" w:fill="auto"/>
      <w:spacing w:after="60" w:line="276" w:lineRule="auto"/>
      <w:jc w:val="center"/>
    </w:pPr>
    <w:rPr>
      <w:rFonts w:ascii="Times New Roman" w:eastAsia="Times New Roman" w:hAnsi="Times New Roman" w:cs="Times New Roman"/>
      <w:b w:val="0"/>
      <w:bCs w:val="0"/>
      <w:i w:val="0"/>
      <w:iCs w:val="0"/>
      <w:smallCaps w:val="0"/>
      <w:strike w:val="0"/>
      <w:color w:val="4561A3"/>
      <w:sz w:val="16"/>
      <w:szCs w:val="16"/>
      <w:u w:val="none"/>
    </w:rPr>
  </w:style>
  <w:style w:type="paragraph" w:customStyle="1" w:styleId="Style8">
    <w:name w:val="Основной текст (6)"/>
    <w:basedOn w:val="Normal"/>
    <w:link w:val="CharStyle9"/>
    <w:pPr>
      <w:widowControl w:val="0"/>
      <w:shd w:val="clear" w:color="auto" w:fill="auto"/>
      <w:spacing w:after="120" w:line="252" w:lineRule="auto"/>
      <w:ind w:firstLine="320"/>
    </w:pPr>
    <w:rPr>
      <w:rFonts w:ascii="Arial" w:eastAsia="Arial" w:hAnsi="Arial" w:cs="Arial"/>
      <w:b/>
      <w:bCs/>
      <w:i w:val="0"/>
      <w:iCs w:val="0"/>
      <w:smallCaps w:val="0"/>
      <w:strike w:val="0"/>
      <w:color w:val="202020"/>
      <w:sz w:val="10"/>
      <w:szCs w:val="10"/>
      <w:u w:val="none"/>
    </w:rPr>
  </w:style>
  <w:style w:type="paragraph" w:customStyle="1" w:styleId="Style12">
    <w:name w:val="Основной текст"/>
    <w:basedOn w:val="Normal"/>
    <w:link w:val="CharStyle13"/>
    <w:pPr>
      <w:widowControl w:val="0"/>
      <w:shd w:val="clear" w:color="auto" w:fill="auto"/>
      <w:ind w:firstLine="400"/>
    </w:pPr>
    <w:rPr>
      <w:rFonts w:ascii="Times New Roman" w:eastAsia="Times New Roman" w:hAnsi="Times New Roman" w:cs="Times New Roman"/>
      <w:b w:val="0"/>
      <w:bCs w:val="0"/>
      <w:i w:val="0"/>
      <w:iCs w:val="0"/>
      <w:smallCaps w:val="0"/>
      <w:strike w:val="0"/>
      <w:u w:val="none"/>
    </w:rPr>
  </w:style>
  <w:style w:type="paragraph" w:customStyle="1" w:styleId="Style15">
    <w:name w:val="Колонтитул (2)"/>
    <w:basedOn w:val="Normal"/>
    <w:link w:val="CharStyle16"/>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20">
    <w:name w:val="Основной текст (4)"/>
    <w:basedOn w:val="Normal"/>
    <w:link w:val="CharStyle21"/>
    <w:pPr>
      <w:widowControl w:val="0"/>
      <w:shd w:val="clear" w:color="auto" w:fill="auto"/>
      <w:spacing w:after="100" w:line="276" w:lineRule="auto"/>
      <w:ind w:left="3380"/>
    </w:pPr>
    <w:rPr>
      <w:rFonts w:ascii="Arial" w:eastAsia="Arial" w:hAnsi="Arial" w:cs="Arial"/>
      <w:b/>
      <w:bCs/>
      <w:i w:val="0"/>
      <w:iCs w:val="0"/>
      <w:smallCaps w:val="0"/>
      <w:strike w:val="0"/>
      <w:color w:val="898889"/>
      <w:sz w:val="22"/>
      <w:szCs w:val="22"/>
      <w:u w:val="none"/>
    </w:rPr>
  </w:style>
  <w:style w:type="paragraph" w:customStyle="1" w:styleId="Style22">
    <w:name w:val="Заголовок №1"/>
    <w:basedOn w:val="Normal"/>
    <w:link w:val="CharStyle23"/>
    <w:pPr>
      <w:widowControl w:val="0"/>
      <w:shd w:val="clear" w:color="auto" w:fill="auto"/>
      <w:spacing w:after="680"/>
      <w:ind w:left="3380"/>
      <w:outlineLvl w:val="0"/>
    </w:pPr>
    <w:rPr>
      <w:rFonts w:ascii="Arial" w:eastAsia="Arial" w:hAnsi="Arial" w:cs="Arial"/>
      <w:b/>
      <w:bCs/>
      <w:i w:val="0"/>
      <w:iCs w:val="0"/>
      <w:smallCaps w:val="0"/>
      <w:strike w:val="0"/>
      <w:color w:val="898889"/>
      <w:sz w:val="26"/>
      <w:szCs w:val="26"/>
      <w:u w:val="none"/>
    </w:rPr>
  </w:style>
  <w:style w:type="paragraph" w:customStyle="1" w:styleId="Style24">
    <w:name w:val="Основной текст (5)"/>
    <w:basedOn w:val="Normal"/>
    <w:link w:val="CharStyle25"/>
    <w:pPr>
      <w:widowControl w:val="0"/>
      <w:shd w:val="clear" w:color="auto" w:fill="auto"/>
      <w:spacing w:after="80"/>
    </w:pPr>
    <w:rPr>
      <w:rFonts w:ascii="Times New Roman" w:eastAsia="Times New Roman" w:hAnsi="Times New Roman" w:cs="Times New Roman"/>
      <w:b w:val="0"/>
      <w:bCs w:val="0"/>
      <w:i w:val="0"/>
      <w:iCs w:val="0"/>
      <w:smallCaps w:val="0"/>
      <w:strike w:val="0"/>
      <w:sz w:val="18"/>
      <w:szCs w:val="18"/>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footer" Target="footer1.xml"/><Relationship Id="rId6" Type="http://schemas.openxmlformats.org/officeDocument/2006/relationships/image" Target="media/image1.jpeg"/><Relationship Id="rId7" Type="http://schemas.openxmlformats.org/officeDocument/2006/relationships/image" Target="media/image1.jpeg" TargetMode="External"/><Relationship Id="rId8" Type="http://schemas.openxmlformats.org/officeDocument/2006/relationships/footer" Target="footer2.xml"/></Relationships>
</file>