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11810" cy="60960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59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по г. Москве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е-таП: 1о77@(а8.еоу.ги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1814" w:val="left"/>
        </w:tabs>
        <w:bidi w:val="0"/>
        <w:spacing w:before="0" w:after="0" w:line="240" w:lineRule="auto"/>
        <w:ind w:left="0" w:right="0" w:firstLine="0"/>
        <w:jc w:val="left"/>
        <w:rPr>
          <w:sz w:val="30"/>
          <w:szCs w:val="30"/>
        </w:rPr>
      </w:pPr>
      <w:r>
        <w:rPr>
          <w:color w:val="000000"/>
          <w:spacing w:val="0"/>
          <w:w w:val="100"/>
          <w:position w:val="0"/>
          <w:sz w:val="30"/>
          <w:szCs w:val="30"/>
          <w:shd w:val="clear" w:color="auto" w:fill="auto"/>
          <w:lang w:val="ru-RU" w:eastAsia="ru-RU" w:bidi="ru-RU"/>
        </w:rPr>
        <w:t>1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30"/>
          <w:szCs w:val="30"/>
          <w:shd w:val="clear" w:color="auto" w:fill="auto"/>
          <w:lang w:val="ru-RU" w:eastAsia="ru-RU" w:bidi="ru-RU"/>
        </w:rPr>
        <w:t>5.01.2024</w:t>
      </w:r>
      <w:r>
        <w:fldChar w:fldCharType="end"/>
      </w:r>
      <w:r>
        <w:rPr>
          <w:color w:val="000000"/>
          <w:spacing w:val="0"/>
          <w:w w:val="100"/>
          <w:position w:val="0"/>
          <w:sz w:val="30"/>
          <w:szCs w:val="30"/>
          <w:shd w:val="clear" w:color="auto" w:fill="auto"/>
          <w:lang w:val="ru-RU" w:eastAsia="ru-RU" w:bidi="ru-RU"/>
        </w:rPr>
        <w:tab/>
        <w:t>№</w:t>
      </w:r>
      <w:r>
        <w:rPr>
          <w:color w:val="000000"/>
          <w:spacing w:val="0"/>
          <w:w w:val="100"/>
          <w:position w:val="0"/>
          <w:sz w:val="30"/>
          <w:szCs w:val="30"/>
          <w:u w:val="single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z w:val="30"/>
          <w:szCs w:val="30"/>
          <w:shd w:val="clear" w:color="auto" w:fill="auto"/>
          <w:lang w:val="ru-RU" w:eastAsia="ru-RU" w:bidi="ru-RU"/>
        </w:rPr>
        <w:t>988/24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48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 МГЦР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48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тдс^-4одоVО^@8ос^а1.то8.^и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48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ТД «МИКС МАРКЕТ» ^4т^xта^кей@дта^1.сот АО «ЕЭТП»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480" w:lineRule="auto"/>
        <w:ind w:left="0" w:right="0" w:firstLine="0"/>
        <w:jc w:val="lef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98" w:right="2063" w:bottom="621" w:left="1313" w:header="0" w:footer="3" w:gutter="0"/>
          <w:pgNumType w:start="1"/>
          <w:cols w:num="2" w:space="720" w:equalWidth="0">
            <w:col w:w="3792" w:space="1301"/>
            <w:col w:w="3432"/>
          </w:cols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ко@го8екогд.ги</w:t>
      </w:r>
    </w:p>
    <w:p>
      <w:pPr>
        <w:widowControl w:val="0"/>
        <w:spacing w:before="34" w:after="34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482" w:right="0" w:bottom="638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3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  <w:bookmarkEnd w:id="0"/>
    </w:p>
    <w:p>
      <w:pPr>
        <w:pStyle w:val="Style9"/>
        <w:keepNext w:val="0"/>
        <w:keepLines w:val="0"/>
        <w:widowControl w:val="0"/>
        <w:shd w:val="clear" w:color="auto" w:fill="auto"/>
        <w:tabs>
          <w:tab w:pos="8942" w:val="left"/>
        </w:tabs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077/06/106-18655/2023 о нарушении</w:t>
        <w:br/>
        <w:t>законодательства о контрактной системе</w:t>
        <w:br/>
        <w:t>10.01.2024</w:t>
        <w:tab/>
        <w:t>г. Москва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- главного специалиста-эксперта отдела обжалования государственных закупок А.А. Кутейникова,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Главного специалиста-эксперта отдела обжалования государственных закупок Н.А. Узкого,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обжалования государственных закупок Э.З. Гугава,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рассмотрение жалобы проводилось дистанционно (посредством видео- конференц связи),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участии представителей: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945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 МГЦР: И.В. Мень (доверенность от 03.10.2023</w:t>
        <w:tab/>
        <w:t>№25),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Ю.О. Корчагиной (доверенность от 03.10.2023 №24),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отсутствие представителей ООО ТД «МИКС МАРКЕТ», о времени и порядке заседания Комиссии Управления уведомленных посредством функционала Единой информационной системы,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ООО ТД «МИКС МАРКЕТ» (далее — Заявитель) на действия ГБУ МГЦР (далее — Заказчик) при проведении электронного аукциона на право заключения государственного контракта на оказание услуг по комплексной уборке помещений ГБУ МГЦР (Закупка № 1073200000823000026) (далее - аукцион),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||||||||||||||||||||||||||||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Закон о контрактной системе),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Московское УФАС России поступила жалоба Заявителя на действия Заказчика при проведении вышеуказанного аукциона.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 обжалует действия Заказчика, выразившиеся в утверждении извещения об осуществлении закупки в нарушение Закона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результате рассмотрения жалобы, рассмотрев представленные документы и сведения, запрашиваемые Московским УФАС России, Комиссия Управления установила следующее.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доводам жалобы Заказчиком неправомерно не установлены дополнительные требования к участникам закупки в соответствии с положениями постановления Правительства Российской Федерации от 29.12.2021 № 2571 «О дополнительных требованиях к участникам закупки отдельных видов товаров, работ, услуг для обеспечения государственных и муниципальных нужд, а также об информации и документах, подтверждающих соответствие участников закупки указанным дополнительным требованиям, и признании утратившими силу некоторых актов и отдельных положений актов Правительства Российской Федерации» (далее — постановление № 2571).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п.12 ч.1 ст.42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требования, предъявляемые к участникам закупки в соответствии с п.1 ч.1 ст.31 Закона о контрактной системе, требования, предъявляемые к участникам закупки в соответствии с ч.2 и 2.1 (при наличии таких требований) ст.31 Закона о контрактной системе, и исчерпывающий перечень документов, подтверждающих соответствие участника закупки таким требованиям, а также требование, предъявляемое к участникам закупки в соответствии с ч.1.1 ст.31 Закона о контрактной системе (при наличии такого требования).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ч.2 ст.31 Закона о контрактной системе Правительство Российской Федерации вправе устанавливать к участникам закупок отдельных видов товаров, работ, услуг дополнительные требования, в том числе к наличию: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0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финансовых ресурсов для исполнения контракта;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1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праве собственности или ином законном основании оборудования и других материальных ресурсов для исполнения контракта;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2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опыта работы, связанного с предметом контракта, и деловой репутации;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315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необходимого количества специалистов и иных работников определенного уровня квалификации для исполнения контракта.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силу ч.3 ст.31 Закона о контрактной системе перечень информации и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документов, которые подтверждают соответствие участников закупок дополнительным требованиям, указанным в ч.2 и 2.1 ст.31 Закона о контрактной системе, устанавливается Правительством Российской Федерации.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ч.4 ст.31 Закона о контрактной системе в случае установления Правительством Российской Федерации в соответствии с ч.2 ст.31 Закона о контрактной системе дополнительных требований к участникам закупок заказчики при определении поставщиков (подрядчиков, исполнителей) обязаны устанавливать такие дополнительные требования.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п.1 постановления №2571 установлено, что к участникам закупки отдельных видов товаров, работ, услуг предъявляются дополнительные требования согласно приложению «Дополнительные требования к участникам закупки отдельных видов товаров, работ, услуг для обеспечения государственных и муниципальных нужд» (далее — Приложение). Соответствие участников закупки указанным требованиям подтверждается информацией и документами, предусмотренными Приложением к постановлению №2571.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Управления установлено, что в соответствии с извещением о проведении электронного аукциона от 21.12.2023 №1073200000823000026 объектом закупки является оказание услуг по комплексной уборке помещений ГБУ МГЦР, начальная (максимальная) цена контракта — 10 984 957,54 рублей.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 36 постановления № 2571 при проведении конкурентных процедур по оказанию услуг по уборке зданий, сооружений, прилегающих к ним территорий к участникам закупки устанавливаются дополнительные требования о наличии опыта исполнения участником закупки договора, предусматривающего оказание услуг по уборке зданий, сооружений, прилегающих к ним территорий. Цена оказанных услуг по договору должна составлять не менее 20 процентов начальной (максимальной) цены контракта, заключаемого по результатам определения поставщика (подрядчика, исполнителя). Информация и документы, подтверждающие соответствие участников закупки дополнительным требованиям: 1) исполненный договор; 2) акт приемки оказанных услуг, подтверждающий цену оказанных услуг.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пп. «а» п.3 постановления № 2571 положения постановления применяются при проведении конкурентных способов определения поставщиков (подрядчиков, исполнителей), при этом: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позиция приложения к постановлению № 2571 применяется с учетом положений п.3 постановления № 2571 в случае, если объект закупки включает один или несколько закупаемых товаров, работ, услуг, указанных в приложении в соответствующей позиции графы «Наименование отдельных видов товаров, работ, услуг, являющихся объектом закупки, наименование товаров, работ, услуг, являющихся объектом отдельных видов закупок»;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позиция 36 приложения применяется в случае, если при осуществлении закупки начальная (максимальная) цена контракта превышает 1 млн. рублей.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Таким образом, объект закупки включен в Приложение к постановлению №2571 и превышает определенную начальную (максимальную) цену контракта,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ввиду чего Заказчику надлежало установить дополнительные требования к участникам закупки в соответствии с положениями п.36 Приложения к постановлению №2571.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 Комиссией Управления установлено, что согласно п.12.12.1 Информационной карты указано: «Дополнительные требования к участникам закупки согласно ч. 2 ст. 31 Закона о контрактной системе (ПП РФ от 29.12.2021 № 2571): Не требуется», а также извещение об осуществлении закупки не содержит указание на установление Заказчиком дополнительных требований к участникам закупки согласно ч.2 ст.31 Закона о контрактной системе и п.36 приложения к Постановлению №2571.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 1 ст. 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представитель Заказчика пояснил, что данное нарушение явилось следствием технической ошибки.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 учетом изложенного Комиссия Управления приходит к выводу о нарушении Заказчиком ч.4 ст.31, п.12 ч.1 ст.42 Закона о контрактной системе, что содержит признаки состава административного правонарушения, ответственность за которое предусмотрена ч.1.4 ст.7.30 Кодекса Российской Федерации об административных правонарушениях.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482" w:right="540" w:bottom="638" w:left="1102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Исследовав представленные материалы, руководствуясь Законом о контрактной системе, Комиссия Управления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 Е Ш И Л А: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1.Признать жалобу ООО ТД «МИКС МАРКЕТ» на действия ГБУ МГЦР обоснованной.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2.Признать в действиях Заказчика нарушение ч.4 ст.31, п.12 ч.1 ст.42 Закона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3.Выдать Заказчику обязательное для исполнения предписание об устранении нарушений законодательства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4.Передать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может быть обжаловано в судебном порядке в Арбитражном суде г. Москвы в течение 3 (трех) месяцев с даты его принятия в порядке, установленном гл. ПК РФ.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1158" w:right="536" w:bottom="1652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30200" distB="201295" distL="0" distR="0" simplePos="0" relativeHeight="125829378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330200</wp:posOffset>
                </wp:positionV>
                <wp:extent cx="1850390" cy="252730"/>
                <wp:wrapTopAndBottom/>
                <wp:docPr id="8" name="Shape 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5039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4" type="#_x0000_t202" style="position:absolute;margin-left:57.950000000000003pt;margin-top:26.pt;width:145.70000000000002pt;height:19.900000000000002pt;z-index:-125829375;mso-wrap-distance-left:0;mso-wrap-distance-top:26.pt;mso-wrap-distance-right:0;mso-wrap-distance-bottom:15.85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421640" distB="0" distL="0" distR="1807210" simplePos="0" relativeHeight="125829380" behindDoc="0" locked="0" layoutInCell="1" allowOverlap="1">
            <wp:simplePos x="0" y="0"/>
            <wp:positionH relativeFrom="page">
              <wp:posOffset>3131820</wp:posOffset>
            </wp:positionH>
            <wp:positionV relativeFrom="paragraph">
              <wp:posOffset>421640</wp:posOffset>
            </wp:positionV>
            <wp:extent cx="311150" cy="365760"/>
            <wp:wrapTopAndBottom/>
            <wp:docPr id="10" name="Shap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box 11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11150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3524885</wp:posOffset>
                </wp:positionH>
                <wp:positionV relativeFrom="paragraph">
                  <wp:posOffset>494665</wp:posOffset>
                </wp:positionV>
                <wp:extent cx="1725295" cy="255905"/>
                <wp:wrapNone/>
                <wp:docPr id="12" name="Shape 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8" type="#_x0000_t202" style="position:absolute;margin-left:277.55000000000001pt;margin-top:38.950000000000003pt;width:135.84999999999999pt;height:20.15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30200" distB="201295" distL="0" distR="0" simplePos="0" relativeHeight="125829381" behindDoc="0" locked="0" layoutInCell="1" allowOverlap="1">
                <wp:simplePos x="0" y="0"/>
                <wp:positionH relativeFrom="page">
                  <wp:posOffset>5908675</wp:posOffset>
                </wp:positionH>
                <wp:positionV relativeFrom="paragraph">
                  <wp:posOffset>330200</wp:posOffset>
                </wp:positionV>
                <wp:extent cx="1307465" cy="252730"/>
                <wp:wrapTopAndBottom/>
                <wp:docPr id="14" name="Shape 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0746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А.А. Кутейников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0" type="#_x0000_t202" style="position:absolute;margin-left:465.25pt;margin-top:26.pt;width:102.95pt;height:19.900000000000002pt;z-index:-125829372;mso-wrap-distance-left:0;mso-wrap-distance-top:26.pt;mso-wrap-distance-right:0;mso-wrap-distance-bottom:15.85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А.А. Кутейников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4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right="0" w:firstLine="0"/>
        <w:jc w:val="left"/>
      </w:pPr>
      <w:r>
        <w:rPr>
          <w:color w:val="E8E8E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СВЕДЕНИЯ О СЕРТИФИКАТЕ </w:t>
      </w: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>ЭП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Кутейников Антон Андреевич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5252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6366183222Е5ОСЕ2САЗЕ6Э732820С91С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23.01.2023 по 17.04.2024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95" w:line="240" w:lineRule="auto"/>
        <w:ind w:left="1500" w:right="0" w:firstLine="0"/>
        <w:jc w:val="left"/>
      </w:pPr>
      <w:r>
        <w:drawing>
          <wp:anchor distT="0" distB="0" distL="114300" distR="1903730" simplePos="0" relativeHeight="125829383" behindDoc="0" locked="0" layoutInCell="1" allowOverlap="1">
            <wp:simplePos x="0" y="0"/>
            <wp:positionH relativeFrom="page">
              <wp:posOffset>3107055</wp:posOffset>
            </wp:positionH>
            <wp:positionV relativeFrom="paragraph">
              <wp:posOffset>63500</wp:posOffset>
            </wp:positionV>
            <wp:extent cx="353695" cy="402590"/>
            <wp:wrapSquare wrapText="right"/>
            <wp:docPr id="16" name="Shape 1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box 17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53695" cy="4025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3524885</wp:posOffset>
                </wp:positionH>
                <wp:positionV relativeFrom="paragraph">
                  <wp:posOffset>154940</wp:posOffset>
                </wp:positionV>
                <wp:extent cx="1725295" cy="255905"/>
                <wp:wrapNone/>
                <wp:docPr id="18" name="Shape 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14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4" type="#_x0000_t202" style="position:absolute;margin-left:277.55000000000001pt;margin-top:12.200000000000001pt;width:135.84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14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Н.А. Узкий</w:t>
      </w:r>
    </w:p>
    <w:p>
      <w:pPr>
        <w:pStyle w:val="Style24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51" w:line="240" w:lineRule="auto"/>
        <w:ind w:right="0" w:firstLine="0"/>
        <w:jc w:val="left"/>
      </w:pP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Узкий Николай Александрович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5252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00СС5А1А1</w:t>
      </w:r>
      <w:r>
        <w:rPr>
          <w:color w:val="252525"/>
          <w:spacing w:val="0"/>
          <w:w w:val="100"/>
          <w:position w:val="0"/>
          <w:shd w:val="clear" w:color="auto" w:fill="auto"/>
          <w:lang w:val="ru-RU" w:eastAsia="ru-RU" w:bidi="ru-RU"/>
        </w:rPr>
        <w:t>С3030775Е8423Е1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1867182162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5252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24.01.2023 по 18.04.2024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1500" w:right="0" w:firstLine="0"/>
        <w:jc w:val="left"/>
      </w:pPr>
      <w:r>
        <w:drawing>
          <wp:anchor distT="0" distB="0" distL="114300" distR="1903730" simplePos="0" relativeHeight="125829384" behindDoc="0" locked="0" layoutInCell="1" allowOverlap="1">
            <wp:simplePos x="0" y="0"/>
            <wp:positionH relativeFrom="page">
              <wp:posOffset>3074035</wp:posOffset>
            </wp:positionH>
            <wp:positionV relativeFrom="paragraph">
              <wp:posOffset>25400</wp:posOffset>
            </wp:positionV>
            <wp:extent cx="389890" cy="572770"/>
            <wp:wrapSquare wrapText="right"/>
            <wp:docPr id="20" name="Shape 2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box 21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3570605</wp:posOffset>
                </wp:positionH>
                <wp:positionV relativeFrom="paragraph">
                  <wp:posOffset>464185</wp:posOffset>
                </wp:positionV>
                <wp:extent cx="1280160" cy="103505"/>
                <wp:wrapNone/>
                <wp:docPr id="22" name="Shape 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8E8E8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</w:t>
                            </w: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О </w:t>
                            </w:r>
                            <w:r>
                              <w:rPr>
                                <w:rFonts w:ascii="Georgia" w:eastAsia="Georgia" w:hAnsi="Georgia" w:cs="Georgia"/>
                                <w:color w:val="E8E8E8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СЕРТИФИКАТЕ </w:t>
                            </w: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8" type="#_x0000_t202" style="position:absolute;margin-left:281.15000000000003pt;margin-top:36.550000000000004pt;width:100.8pt;height:8.15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8E8E8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СВЕДЕНИЯ </w:t>
                      </w: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О </w:t>
                      </w:r>
                      <w:r>
                        <w:rPr>
                          <w:rFonts w:ascii="Georgia" w:eastAsia="Georgia" w:hAnsi="Georgia" w:cs="Georgia"/>
                          <w:color w:val="E8E8E8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СЕРТИФИКАТЕ </w:t>
                      </w: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3524885</wp:posOffset>
                </wp:positionH>
                <wp:positionV relativeFrom="paragraph">
                  <wp:posOffset>153670</wp:posOffset>
                </wp:positionV>
                <wp:extent cx="1725295" cy="255905"/>
                <wp:wrapNone/>
                <wp:docPr id="24" name="Shape 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0" type="#_x0000_t202" style="position:absolute;margin-left:277.55000000000001pt;margin-top:12.1pt;width:135.84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Э.З. Гугава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Гугава Эдуард Звиадович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5252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6281 Е5АЕВ0О2ЭВЕ2АООСЕ65248493Е7С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198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13.04.2023 </w:t>
      </w:r>
      <w:r>
        <w:rPr>
          <w:color w:val="7D7D7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06.07.2024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>Исп. Гугава Эдуард Звиадович 8 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58" w:right="536" w:bottom="1158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725805</wp:posOffset>
              </wp:positionH>
              <wp:positionV relativeFrom="page">
                <wp:posOffset>10092690</wp:posOffset>
              </wp:positionV>
              <wp:extent cx="648970" cy="100330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2024-1206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57.149999999999999pt;margin-top:794.70000000000005pt;width:51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2024-1206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10217150</wp:posOffset>
              </wp:positionV>
              <wp:extent cx="648970" cy="100330"/>
              <wp:wrapNone/>
              <wp:docPr id="6" name="Shape 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2024-1206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2" type="#_x0000_t202" style="position:absolute;margin-left:57.pt;margin-top:804.5pt;width:51.100000000000001pt;height:7.9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2024-1206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3923030</wp:posOffset>
              </wp:positionH>
              <wp:positionV relativeFrom="page">
                <wp:posOffset>436880</wp:posOffset>
              </wp:positionV>
              <wp:extent cx="67310" cy="103505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308.90000000000003pt;margin-top:34.399999999999999pt;width:5.2999999999999998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C"/>
      <w:sz w:val="19"/>
      <w:szCs w:val="19"/>
      <w:u w:val="none"/>
    </w:rPr>
  </w:style>
  <w:style w:type="character" w:customStyle="1" w:styleId="CharStyle10">
    <w:name w:val="Основной текст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4">
    <w:name w:val="Заголовок №1_"/>
    <w:basedOn w:val="DefaultParagraphFont"/>
    <w:link w:val="Style1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7">
    <w:name w:val="Основной текст (5)_"/>
    <w:basedOn w:val="DefaultParagraphFont"/>
    <w:link w:val="Style16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CharStyle20">
    <w:name w:val="Подпись к картинке_"/>
    <w:basedOn w:val="DefaultParagraphFont"/>
    <w:link w:val="Style1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52525"/>
      <w:sz w:val="12"/>
      <w:szCs w:val="12"/>
      <w:u w:val="none"/>
    </w:rPr>
  </w:style>
  <w:style w:type="character" w:customStyle="1" w:styleId="CharStyle25">
    <w:name w:val="Основной текст (4)_"/>
    <w:basedOn w:val="DefaultParagraphFont"/>
    <w:link w:val="Style24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28">
    <w:name w:val="Основной текст (2)_"/>
    <w:basedOn w:val="DefaultParagraphFont"/>
    <w:link w:val="Style27"/>
    <w:rPr>
      <w:rFonts w:ascii="Arial" w:eastAsia="Arial" w:hAnsi="Arial" w:cs="Arial"/>
      <w:b w:val="0"/>
      <w:bCs w:val="0"/>
      <w:i w:val="0"/>
      <w:iCs w:val="0"/>
      <w:smallCaps w:val="0"/>
      <w:strike w:val="0"/>
      <w:color w:val="5C5C5C"/>
      <w:sz w:val="12"/>
      <w:szCs w:val="12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spacing w:after="10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C"/>
      <w:sz w:val="19"/>
      <w:szCs w:val="19"/>
      <w:u w:val="none"/>
    </w:rPr>
  </w:style>
  <w:style w:type="paragraph" w:customStyle="1" w:styleId="Style9">
    <w:name w:val="Основной текст"/>
    <w:basedOn w:val="Normal"/>
    <w:link w:val="CharStyle10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3">
    <w:name w:val="Заголовок №1"/>
    <w:basedOn w:val="Normal"/>
    <w:link w:val="CharStyle14"/>
    <w:pPr>
      <w:widowControl w:val="0"/>
      <w:shd w:val="clear" w:color="auto" w:fill="auto"/>
      <w:jc w:val="center"/>
      <w:outlineLvl w:val="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16">
    <w:name w:val="Основной текст (5)"/>
    <w:basedOn w:val="Normal"/>
    <w:link w:val="CharStyle17"/>
    <w:pPr>
      <w:widowControl w:val="0"/>
      <w:shd w:val="clear" w:color="auto" w:fill="auto"/>
      <w:ind w:firstLine="36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paragraph" w:customStyle="1" w:styleId="Style19">
    <w:name w:val="Подпись к картинке"/>
    <w:basedOn w:val="Normal"/>
    <w:link w:val="CharStyle20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52525"/>
      <w:sz w:val="12"/>
      <w:szCs w:val="12"/>
      <w:u w:val="none"/>
    </w:rPr>
  </w:style>
  <w:style w:type="paragraph" w:customStyle="1" w:styleId="Style24">
    <w:name w:val="Основной текст (4)"/>
    <w:basedOn w:val="Normal"/>
    <w:link w:val="CharStyle25"/>
    <w:pPr>
      <w:widowControl w:val="0"/>
      <w:shd w:val="clear" w:color="auto" w:fill="auto"/>
      <w:spacing w:after="80"/>
      <w:ind w:left="452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27">
    <w:name w:val="Основной текст (2)"/>
    <w:basedOn w:val="Normal"/>
    <w:link w:val="CharStyle28"/>
    <w:pPr>
      <w:widowControl w:val="0"/>
      <w:shd w:val="clear" w:color="auto" w:fill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5C5C5C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Relationship Id="rId15" Type="http://schemas.openxmlformats.org/officeDocument/2006/relationships/image" Target="media/image4.jpeg"/><Relationship Id="rId16" Type="http://schemas.openxmlformats.org/officeDocument/2006/relationships/image" Target="media/image4.jpeg" TargetMode="External"/></Relationships>
</file>