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1226820</wp:posOffset>
                </wp:positionH>
                <wp:positionV relativeFrom="paragraph">
                  <wp:posOffset>116840</wp:posOffset>
                </wp:positionV>
                <wp:extent cx="1760220" cy="276860"/>
                <wp:wrapSquare wrapText="bothSides"/>
                <wp:docPr id="1" name="Shape 1"/>
                <a:graphic xmlns:a="http://schemas.openxmlformats.org/drawingml/2006/main">
                  <a:graphicData uri="http://schemas.microsoft.com/office/word/2010/wordprocessingShape">
                    <wps:wsp>
                      <wps:cNvSpPr txBox="1"/>
                      <wps:spPr>
                        <a:xfrm>
                          <a:ext cx="1760220" cy="27686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96.600000000000009pt;margin-top:9.2000000000000011pt;width:138.59999999999999pt;height:21.800000000000001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1680" w:right="0" w:firstLine="0"/>
        <w:jc w:val="left"/>
        <w:sectPr>
          <w:footerReference w:type="default" r:id="rId5"/>
          <w:footnotePr>
            <w:pos w:val="pageBottom"/>
            <w:numFmt w:val="decimal"/>
            <w:numRestart w:val="continuous"/>
          </w:footnotePr>
          <w:pgSz w:w="11900" w:h="16840"/>
          <w:pgMar w:top="1493" w:right="640" w:bottom="2575" w:left="4704" w:header="1065"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ООО Научно-инженерный центр "Технологии"</w:t>
      </w:r>
    </w:p>
    <w:p>
      <w:pPr>
        <w:widowControl w:val="0"/>
        <w:spacing w:line="17" w:lineRule="exact"/>
        <w:rPr>
          <w:sz w:val="2"/>
          <w:szCs w:val="2"/>
        </w:rPr>
      </w:pPr>
    </w:p>
    <w:p>
      <w:pPr>
        <w:widowControl w:val="0"/>
        <w:spacing w:line="1" w:lineRule="exact"/>
        <w:sectPr>
          <w:footnotePr>
            <w:pos w:val="pageBottom"/>
            <w:numFmt w:val="decimal"/>
            <w:numRestart w:val="continuous"/>
          </w:footnotePr>
          <w:type w:val="continuous"/>
          <w:pgSz w:w="11900" w:h="16840"/>
          <w:pgMar w:top="1493" w:right="0" w:bottom="2575" w:left="0" w:header="0" w:footer="3" w:gutter="0"/>
          <w:cols w:space="720"/>
          <w:noEndnote/>
          <w:rtlGutter w:val="0"/>
          <w:docGrid w:linePitch="360"/>
        </w:sectPr>
      </w:pPr>
    </w:p>
    <w:p>
      <w:pPr>
        <w:pStyle w:val="Style10"/>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Липецкой области</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пл. Плеханова, 1, г. Липецк, 398050</w:t>
        <w:br/>
        <w:t>тел./факс (4742) 27-14-82</w:t>
      </w:r>
    </w:p>
    <w:p>
      <w:pPr>
        <w:pStyle w:val="Style2"/>
        <w:keepNext w:val="0"/>
        <w:keepLines w:val="0"/>
        <w:widowControl w:val="0"/>
        <w:shd w:val="clear" w:color="auto" w:fill="auto"/>
        <w:bidi w:val="0"/>
        <w:spacing w:before="0" w:after="600"/>
        <w:ind w:left="0" w:right="0" w:firstLine="400"/>
        <w:jc w:val="both"/>
      </w:pPr>
      <w:r>
        <w:rPr>
          <w:color w:val="000000"/>
          <w:spacing w:val="0"/>
          <w:w w:val="100"/>
          <w:position w:val="0"/>
          <w:shd w:val="clear" w:color="auto" w:fill="auto"/>
          <w:lang w:val="ru-RU" w:eastAsia="ru-RU" w:bidi="ru-RU"/>
        </w:rPr>
        <w:t>е-таП: ю48@(а,я.доу.ги Ь«р://ИреЬк.Га8.8ОУ.ги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 №  от</w:t>
      </w:r>
    </w:p>
    <w:p>
      <w:pPr>
        <w:pStyle w:val="Style5"/>
        <w:keepNext w:val="0"/>
        <w:keepLines w:val="0"/>
        <w:widowControl w:val="0"/>
        <w:shd w:val="clear" w:color="auto" w:fill="auto"/>
        <w:bidi w:val="0"/>
        <w:spacing w:before="0" w:after="300" w:line="240" w:lineRule="auto"/>
        <w:ind w:left="0" w:right="0" w:firstLine="0"/>
        <w:jc w:val="left"/>
      </w:pPr>
      <w:r>
        <w:rPr>
          <w:color w:val="000000"/>
          <w:spacing w:val="0"/>
          <w:w w:val="100"/>
          <w:position w:val="0"/>
          <w:sz w:val="24"/>
          <w:szCs w:val="24"/>
          <w:shd w:val="clear" w:color="auto" w:fill="auto"/>
          <w:lang w:val="ru-RU" w:eastAsia="ru-RU" w:bidi="ru-RU"/>
        </w:rPr>
        <w:t>тЕо@тс-1есЬ,ги</w:t>
      </w:r>
    </w:p>
    <w:p>
      <w:pPr>
        <w:pStyle w:val="Style5"/>
        <w:keepNext w:val="0"/>
        <w:keepLines w:val="0"/>
        <w:widowControl w:val="0"/>
        <w:shd w:val="clear" w:color="auto" w:fill="auto"/>
        <w:bidi w:val="0"/>
        <w:spacing w:before="0" w:after="30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учреждение здравоохранения «Липецкая городская больница №4 «Липецк-Мед»</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Нре18ктес1@та11.ги</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493" w:right="1317" w:bottom="2575" w:left="1345" w:header="0" w:footer="3" w:gutter="0"/>
          <w:cols w:num="2" w:space="720" w:equalWidth="0">
            <w:col w:w="3726" w:space="1325"/>
            <w:col w:w="4187"/>
          </w:cols>
          <w:noEndnote/>
          <w:rtlGutter w:val="0"/>
          <w:docGrid w:linePitch="360"/>
        </w:sectPr>
      </w:pPr>
      <w:r>
        <w:rPr>
          <w:color w:val="000000"/>
          <w:spacing w:val="0"/>
          <w:w w:val="100"/>
          <w:position w:val="0"/>
          <w:sz w:val="24"/>
          <w:szCs w:val="24"/>
          <w:shd w:val="clear" w:color="auto" w:fill="auto"/>
          <w:lang w:val="ru-RU" w:eastAsia="ru-RU" w:bidi="ru-RU"/>
        </w:rPr>
        <w:t>§Ы1ре15ктес1@та11.ги</w:t>
      </w: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90" w:right="0" w:bottom="1583" w:left="0" w:header="0" w:footer="3" w:gutter="0"/>
          <w:cols w:space="720"/>
          <w:noEndnote/>
          <w:rtlGutter w:val="0"/>
          <w:docGrid w:linePitch="360"/>
        </w:sectPr>
      </w:pPr>
    </w:p>
    <w:p>
      <w:pPr>
        <w:pStyle w:val="Style12"/>
        <w:keepNext/>
        <w:keepLines/>
        <w:widowControl w:val="0"/>
        <w:shd w:val="clear" w:color="auto" w:fill="auto"/>
        <w:bidi w:val="0"/>
        <w:spacing w:before="0" w:line="240" w:lineRule="auto"/>
        <w:ind w:right="0" w:firstLine="0"/>
        <w:jc w:val="left"/>
      </w:pPr>
      <w:bookmarkStart w:id="0" w:name="bookmark0"/>
      <w:r>
        <w:rPr>
          <w:color w:val="000000"/>
          <w:spacing w:val="0"/>
          <w:w w:val="100"/>
          <w:position w:val="0"/>
          <w:shd w:val="clear" w:color="auto" w:fill="auto"/>
          <w:lang w:val="ru-RU" w:eastAsia="ru-RU" w:bidi="ru-RU"/>
        </w:rPr>
        <w:t>~|</w:t>
      </w:r>
      <w:bookmarkEnd w:id="0"/>
    </w:p>
    <w:p>
      <w:pPr>
        <w:pStyle w:val="Style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РЕШЕНИЕ № 048/06/106-1175/2023</w:t>
      </w:r>
    </w:p>
    <w:p>
      <w:pPr>
        <w:pStyle w:val="Style5"/>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6430010</wp:posOffset>
                </wp:positionH>
                <wp:positionV relativeFrom="paragraph">
                  <wp:posOffset>12700</wp:posOffset>
                </wp:positionV>
                <wp:extent cx="674370" cy="187325"/>
                <wp:wrapSquare wrapText="left"/>
                <wp:docPr id="5" name="Shape 5"/>
                <a:graphic xmlns:a="http://schemas.openxmlformats.org/drawingml/2006/main">
                  <a:graphicData uri="http://schemas.microsoft.com/office/word/2010/wordprocessingShape">
                    <wps:wsp>
                      <wps:cNvSpPr txBox="1"/>
                      <wps:spPr>
                        <a:xfrm>
                          <a:ext cx="674370"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506.30000000000001pt;margin-top:1.pt;width:53.100000000000001pt;height:14.75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«10» января 2024 года</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Резолютивная часть решения оглашена 10.01.2024.</w:t>
      </w:r>
    </w:p>
    <w:p>
      <w:pPr>
        <w:pStyle w:val="Style5"/>
        <w:keepNext w:val="0"/>
        <w:keepLines w:val="0"/>
        <w:widowControl w:val="0"/>
        <w:shd w:val="clear" w:color="auto" w:fill="auto"/>
        <w:bidi w:val="0"/>
        <w:spacing w:before="0" w:after="280" w:line="240" w:lineRule="auto"/>
        <w:ind w:left="0" w:right="0" w:firstLine="560"/>
        <w:jc w:val="both"/>
      </w:pPr>
      <w:r>
        <w:rPr>
          <w:color w:val="000000"/>
          <w:spacing w:val="0"/>
          <w:w w:val="100"/>
          <w:position w:val="0"/>
          <w:sz w:val="24"/>
          <w:szCs w:val="24"/>
          <w:shd w:val="clear" w:color="auto" w:fill="auto"/>
          <w:lang w:val="ru-RU" w:eastAsia="ru-RU" w:bidi="ru-RU"/>
        </w:rPr>
        <w:t>Решение в полном объеме изготовлено 15.01.2024.</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председатель Комиссии: И.В. Поткина - руководитель управления,</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член Комиссии: А.В. Александрова - специалист-эксперт отдела контроля закупок и торгов,</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представителя заказчика - государственного учреждения здравоохранения «Липецкая городская больница №4 Липецк-Мед» - А.А. Фаустовой (по доверенности),</w:t>
      </w:r>
    </w:p>
    <w:p>
      <w:pPr>
        <w:pStyle w:val="Style5"/>
        <w:keepNext w:val="0"/>
        <w:keepLines w:val="0"/>
        <w:widowControl w:val="0"/>
        <w:shd w:val="clear" w:color="auto" w:fill="auto"/>
        <w:bidi w:val="0"/>
        <w:spacing w:before="0" w:after="280" w:line="240" w:lineRule="auto"/>
        <w:ind w:left="0" w:right="0" w:firstLine="560"/>
        <w:jc w:val="both"/>
      </w:pPr>
      <w:r>
        <w:rPr>
          <w:color w:val="000000"/>
          <w:spacing w:val="0"/>
          <w:w w:val="100"/>
          <w:position w:val="0"/>
          <w:sz w:val="24"/>
          <w:szCs w:val="24"/>
          <w:shd w:val="clear" w:color="auto" w:fill="auto"/>
          <w:lang w:val="ru-RU" w:eastAsia="ru-RU" w:bidi="ru-RU"/>
        </w:rPr>
        <w:t>рассмотрев жалобу ООО Научно-инженерный центр «Технологии» на положения извещения о проведении электронного аукциона на проведение мероприятий по оборудованию системой видеонаблюдения объекта (территории), архивированию и хранению информации в ГУЗ "ЛГБ №4 "ЛипецкМед" расположенная по адресу: г. Липецк, ул. Коммунистическая, д. 24 (реестровый номер 0346300106723000286) (далее - электронный аукцион), а также другие документы (копии), представленные сторонами, заслушав пояснения представителя заказчика, а также проведя внеплановую проверку в соответствии со ст.99 Закона о контрактной системе и на основании приказа Липецкого УФАС России,</w:t>
      </w:r>
    </w:p>
    <w:p>
      <w:pPr>
        <w:pStyle w:val="Style5"/>
        <w:keepNext w:val="0"/>
        <w:keepLines w:val="0"/>
        <w:widowControl w:val="0"/>
        <w:shd w:val="clear" w:color="auto" w:fill="auto"/>
        <w:bidi w:val="0"/>
        <w:spacing w:before="0" w:after="8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Липецкое УФАС России посредством ЕИС поступила жалоба ООО Научно</w:t>
        <w:softHyphen/>
        <w:t>инженерный центр «Технологии» (далее - заявитель) на положения извещения о проведении электронного аукциона (заказчик - государственное учреждение здравоохранения «Липецкая городская больница №4 «Липецк-Мед»).</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Жалоба и сведения о времени и месте ее рассмотрения размещены Липецким УФАС России в разделе «жалобы» ЕИС.</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От заявителя поступило ходатайство о рассмотрении жалобы в отсутствие его представителей.</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жалобе заявителя указано, что в нарушение заказчиком не установлен запрет согласно постановлению Правительства Российской Федерации от 16.10.2015 14 1236.</w:t>
      </w:r>
    </w:p>
    <w:p>
      <w:pPr>
        <w:pStyle w:val="Style5"/>
        <w:keepNext w:val="0"/>
        <w:keepLines w:val="0"/>
        <w:widowControl w:val="0"/>
        <w:shd w:val="clear" w:color="auto" w:fill="auto"/>
        <w:bidi w:val="0"/>
        <w:spacing w:before="0" w:after="280" w:line="240" w:lineRule="auto"/>
        <w:ind w:left="0" w:right="0" w:firstLine="660"/>
        <w:jc w:val="both"/>
      </w:pPr>
      <w:r>
        <w:rPr>
          <w:color w:val="000000"/>
          <w:spacing w:val="0"/>
          <w:w w:val="100"/>
          <w:position w:val="0"/>
          <w:sz w:val="24"/>
          <w:szCs w:val="24"/>
          <w:shd w:val="clear" w:color="auto" w:fill="auto"/>
          <w:lang w:val="ru-RU" w:eastAsia="ru-RU" w:bidi="ru-RU"/>
        </w:rPr>
        <w:t>Заказчик представил запрошенные документы, а также возражения на жалобу заявителя. С доводом заявителя представитель заказчика не согласен.</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Установлено, что 27.11.2023 Комиссией Липецкого УФАС России рассмотрена жалоба ООО «ЭЛЕКТРОННЫЕ МАШИНЫ» на положения извещения о проведении рассматриваемого электронного аукциона. В числе прочего заявитель указывал на то, что заказчиком в нарушение требований законодательства не установлен запрет согласно постановлению Правительства Российской Федерации от 16.10.2015 М 1236.</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По итогам рассмотрения жалобы ООО «ЭЛЕКТРОННЫЕ МАШИНЫ» Комиссией принято решение № 048/06/106-1011/2023 от 27.11.2023, а также выдано предписание об устранении выявленных нарушений. Заказчику в том числе надлежало внести изменения в извещение о проведении закупки, с целью установления в извещении о проведении электронного аукциона запрета согласно постановлению Правительства Российской Федерации от 16.10.2015 \ 1236.</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15.12.2023 во исполнение предписания Комиссии Липецкого УФАС России в ЕИС надлежащим образом размещены изменения в извещение о проведении электронного аукциона.</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Однако 21.12.2023 в ЕИС размещены изменения извещения о проведении электронного аукциона, согласно которым установлено следующее.</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ведомости объемов работ в разделе 1 «видеонаблюдение», в числе прочего, предусмотрено:</w:t>
      </w:r>
    </w:p>
    <w:p>
      <w:pPr>
        <w:pStyle w:val="Style5"/>
        <w:keepNext w:val="0"/>
        <w:keepLines w:val="0"/>
        <w:widowControl w:val="0"/>
        <w:numPr>
          <w:ilvl w:val="0"/>
          <w:numId w:val="1"/>
        </w:numPr>
        <w:shd w:val="clear" w:color="auto" w:fill="auto"/>
        <w:tabs>
          <w:tab w:pos="881"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удаленное рабочее место ТКА881К (Ыпих) до 32-х каналов видео,</w:t>
      </w:r>
    </w:p>
    <w:p>
      <w:pPr>
        <w:pStyle w:val="Style5"/>
        <w:keepNext w:val="0"/>
        <w:keepLines w:val="0"/>
        <w:widowControl w:val="0"/>
        <w:numPr>
          <w:ilvl w:val="0"/>
          <w:numId w:val="1"/>
        </w:numPr>
        <w:shd w:val="clear" w:color="auto" w:fill="auto"/>
        <w:tabs>
          <w:tab w:pos="861"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функциональная настройка общего программного обеспечения АС,</w:t>
      </w:r>
    </w:p>
    <w:p>
      <w:pPr>
        <w:pStyle w:val="Style5"/>
        <w:keepNext w:val="0"/>
        <w:keepLines w:val="0"/>
        <w:widowControl w:val="0"/>
        <w:numPr>
          <w:ilvl w:val="0"/>
          <w:numId w:val="1"/>
        </w:numPr>
        <w:shd w:val="clear" w:color="auto" w:fill="auto"/>
        <w:tabs>
          <w:tab w:pos="865"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программное обеспечение для 1Р систем видеонаблюдения,</w:t>
      </w:r>
    </w:p>
    <w:p>
      <w:pPr>
        <w:pStyle w:val="Style5"/>
        <w:keepNext w:val="0"/>
        <w:keepLines w:val="0"/>
        <w:widowControl w:val="0"/>
        <w:numPr>
          <w:ilvl w:val="0"/>
          <w:numId w:val="1"/>
        </w:numPr>
        <w:shd w:val="clear" w:color="auto" w:fill="auto"/>
        <w:tabs>
          <w:tab w:pos="861"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камеры видеонаблюдения: наружная,</w:t>
      </w:r>
    </w:p>
    <w:p>
      <w:pPr>
        <w:pStyle w:val="Style5"/>
        <w:keepNext w:val="0"/>
        <w:keepLines w:val="0"/>
        <w:widowControl w:val="0"/>
        <w:numPr>
          <w:ilvl w:val="0"/>
          <w:numId w:val="1"/>
        </w:numPr>
        <w:shd w:val="clear" w:color="auto" w:fill="auto"/>
        <w:tabs>
          <w:tab w:pos="861"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профессиональная телекамера 1Р 4 Мп уличная цилиндрическая с ИК подсветкой,</w:t>
      </w:r>
    </w:p>
    <w:p>
      <w:pPr>
        <w:pStyle w:val="Style5"/>
        <w:keepNext w:val="0"/>
        <w:keepLines w:val="0"/>
        <w:widowControl w:val="0"/>
        <w:numPr>
          <w:ilvl w:val="0"/>
          <w:numId w:val="1"/>
        </w:numPr>
        <w:shd w:val="clear" w:color="auto" w:fill="auto"/>
        <w:tabs>
          <w:tab w:pos="861"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профессиональная телекамера 1Р 4 Мп уличная купольная с ИК подсветкой,</w:t>
      </w:r>
    </w:p>
    <w:p>
      <w:pPr>
        <w:pStyle w:val="Style5"/>
        <w:keepNext w:val="0"/>
        <w:keepLines w:val="0"/>
        <w:widowControl w:val="0"/>
        <w:numPr>
          <w:ilvl w:val="0"/>
          <w:numId w:val="1"/>
        </w:numPr>
        <w:shd w:val="clear" w:color="auto" w:fill="auto"/>
        <w:tabs>
          <w:tab w:pos="881"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лицензия на подключение в системы,</w:t>
      </w:r>
    </w:p>
    <w:p>
      <w:pPr>
        <w:pStyle w:val="Style5"/>
        <w:keepNext w:val="0"/>
        <w:keepLines w:val="0"/>
        <w:widowControl w:val="0"/>
        <w:numPr>
          <w:ilvl w:val="0"/>
          <w:numId w:val="1"/>
        </w:numPr>
        <w:shd w:val="clear" w:color="auto" w:fill="auto"/>
        <w:tabs>
          <w:tab w:pos="881"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функциональная настройка общего программного обеспечения АС.</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локальном сметном расчете предусмотрено аналогичное и приведена стоимость указанных товаров.</w:t>
      </w:r>
    </w:p>
    <w:p>
      <w:pPr>
        <w:pStyle w:val="Style5"/>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В соответствии с п. 15 ч. 1 ст. 42 Закона о контрактной системе извещение об осуществлении закупки должно содержать информацию об условиях, о запретах и об </w:t>
      </w:r>
      <w:r>
        <w:rPr>
          <w:color w:val="000000"/>
          <w:spacing w:val="0"/>
          <w:w w:val="100"/>
          <w:position w:val="0"/>
          <w:sz w:val="24"/>
          <w:szCs w:val="24"/>
          <w:shd w:val="clear" w:color="auto" w:fill="auto"/>
          <w:lang w:val="ru-RU" w:eastAsia="ru-RU" w:bidi="ru-RU"/>
        </w:rPr>
        <w:t>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 2 постановления Правительства Российской Федерации от 16.11.2015 К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5"/>
        <w:keepNext w:val="0"/>
        <w:keepLines w:val="0"/>
        <w:widowControl w:val="0"/>
        <w:numPr>
          <w:ilvl w:val="0"/>
          <w:numId w:val="3"/>
        </w:numPr>
        <w:shd w:val="clear" w:color="auto" w:fill="auto"/>
        <w:tabs>
          <w:tab w:pos="83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5"/>
        <w:keepNext w:val="0"/>
        <w:keepLines w:val="0"/>
        <w:widowControl w:val="0"/>
        <w:numPr>
          <w:ilvl w:val="0"/>
          <w:numId w:val="3"/>
        </w:numPr>
        <w:shd w:val="clear" w:color="auto" w:fill="auto"/>
        <w:tabs>
          <w:tab w:pos="85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в п. 2(1) указанного постановления предусмотрено, что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5"/>
        <w:keepNext w:val="0"/>
        <w:keepLines w:val="0"/>
        <w:widowControl w:val="0"/>
        <w:numPr>
          <w:ilvl w:val="0"/>
          <w:numId w:val="5"/>
        </w:numPr>
        <w:shd w:val="clear" w:color="auto" w:fill="auto"/>
        <w:tabs>
          <w:tab w:pos="84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5"/>
        <w:keepNext w:val="0"/>
        <w:keepLines w:val="0"/>
        <w:widowControl w:val="0"/>
        <w:numPr>
          <w:ilvl w:val="0"/>
          <w:numId w:val="5"/>
        </w:numPr>
        <w:shd w:val="clear" w:color="auto" w:fill="auto"/>
        <w:tabs>
          <w:tab w:pos="85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w:t>
      </w:r>
      <w:r>
        <w:rPr>
          <w:color w:val="000000"/>
          <w:spacing w:val="0"/>
          <w:w w:val="100"/>
          <w:position w:val="0"/>
          <w:sz w:val="24"/>
          <w:szCs w:val="24"/>
          <w:u w:val="single"/>
          <w:shd w:val="clear" w:color="auto" w:fill="auto"/>
          <w:lang w:val="ru-RU" w:eastAsia="ru-RU" w:bidi="ru-RU"/>
        </w:rPr>
        <w:t>на которых программное обеспечение подлежит установке в результате исполнения контракта</w:t>
      </w:r>
      <w:r>
        <w:rPr>
          <w:color w:val="000000"/>
          <w:spacing w:val="0"/>
          <w:w w:val="100"/>
          <w:position w:val="0"/>
          <w:sz w:val="24"/>
          <w:szCs w:val="24"/>
          <w:shd w:val="clear" w:color="auto" w:fill="auto"/>
          <w:lang w:val="ru-RU" w:eastAsia="ru-RU" w:bidi="ru-RU"/>
        </w:rPr>
        <w:t>;</w:t>
      </w:r>
    </w:p>
    <w:p>
      <w:pPr>
        <w:pStyle w:val="Style5"/>
        <w:keepNext w:val="0"/>
        <w:keepLines w:val="0"/>
        <w:widowControl w:val="0"/>
        <w:numPr>
          <w:ilvl w:val="0"/>
          <w:numId w:val="5"/>
        </w:numPr>
        <w:shd w:val="clear" w:color="auto" w:fill="auto"/>
        <w:tabs>
          <w:tab w:pos="84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keepNext w:val="0"/>
        <w:keepLines w:val="0"/>
        <w:widowControl w:val="0"/>
        <w:numPr>
          <w:ilvl w:val="0"/>
          <w:numId w:val="5"/>
        </w:numPr>
        <w:shd w:val="clear" w:color="auto" w:fill="auto"/>
        <w:tabs>
          <w:tab w:pos="82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w:t>
      </w:r>
      <w:r>
        <w:rPr>
          <w:color w:val="000000"/>
          <w:spacing w:val="0"/>
          <w:w w:val="100"/>
          <w:position w:val="0"/>
          <w:sz w:val="24"/>
          <w:szCs w:val="24"/>
          <w:shd w:val="clear" w:color="auto" w:fill="auto"/>
          <w:lang w:val="ru-RU" w:eastAsia="ru-RU" w:bidi="ru-RU"/>
        </w:rPr>
        <w:t>прав на использование программного обеспечения или расширением ранее предоставленного объема прав.</w:t>
      </w:r>
    </w:p>
    <w:p>
      <w:pPr>
        <w:pStyle w:val="Style5"/>
        <w:keepNext w:val="0"/>
        <w:keepLines w:val="0"/>
        <w:widowControl w:val="0"/>
        <w:shd w:val="clear" w:color="auto" w:fill="auto"/>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 xml:space="preserve">В письме Минцифры России от 15.12.2022 14 П11-2-05-106-94501 разъяснено, что «Если в документации о закупке установлено, что в рамках исполнения контракта на осуществление закупок камер видеонаблюдения </w:t>
      </w:r>
      <w:r>
        <w:rPr>
          <w:color w:val="000000"/>
          <w:spacing w:val="0"/>
          <w:w w:val="100"/>
          <w:position w:val="0"/>
          <w:sz w:val="24"/>
          <w:szCs w:val="24"/>
          <w:u w:val="single"/>
          <w:shd w:val="clear" w:color="auto" w:fill="auto"/>
          <w:lang w:val="ru-RU" w:eastAsia="ru-RU" w:bidi="ru-RU"/>
        </w:rPr>
        <w:t>необходимо установить программное обеспечение</w:t>
      </w:r>
      <w:r>
        <w:rPr>
          <w:color w:val="000000"/>
          <w:spacing w:val="0"/>
          <w:w w:val="100"/>
          <w:position w:val="0"/>
          <w:sz w:val="24"/>
          <w:szCs w:val="24"/>
          <w:shd w:val="clear" w:color="auto" w:fill="auto"/>
          <w:lang w:val="ru-RU" w:eastAsia="ru-RU" w:bidi="ru-RU"/>
        </w:rPr>
        <w:t xml:space="preserve">, то запрет, установленный постановлением 14 1236, распространяется на такую закупку и в случае отсутствия в едином реестре российских программ для электронных вычислительных машин и баз данных аналога, соответствующего тому же классу программного обеспечения, что и программное обеспечение планируемое к закупке, то заказчику в соответствии с пунктом 2 Порядка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утвержденного постановлением К 1236, необходимо подготовить обоснование. При этом отмечаем, что законодательством дополнительно не регламентированы случаи применения запрета, предусмотренного постановлением И 1236, когда объектом закупки являются камеры видеонаблюдения </w:t>
      </w:r>
      <w:r>
        <w:rPr>
          <w:color w:val="000000"/>
          <w:spacing w:val="0"/>
          <w:w w:val="100"/>
          <w:position w:val="0"/>
          <w:sz w:val="24"/>
          <w:szCs w:val="24"/>
          <w:u w:val="single"/>
          <w:shd w:val="clear" w:color="auto" w:fill="auto"/>
          <w:lang w:val="ru-RU" w:eastAsia="ru-RU" w:bidi="ru-RU"/>
        </w:rPr>
        <w:t>с предустановленным программным обеспечением, без которого применение видеооборудования по назначению невозможно</w:t>
      </w:r>
      <w:r>
        <w:rPr>
          <w:color w:val="000000"/>
          <w:spacing w:val="0"/>
          <w:w w:val="100"/>
          <w:position w:val="0"/>
          <w:sz w:val="24"/>
          <w:szCs w:val="24"/>
          <w:shd w:val="clear" w:color="auto" w:fill="auto"/>
          <w:lang w:val="ru-RU" w:eastAsia="ru-RU" w:bidi="ru-RU"/>
        </w:rPr>
        <w:t>, и в извещении или документации о закупке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Исходя из вышеприведенных требований ведомости объемов работ, следует, что заказчик предусмотрел обязанность подрядчика по установке, функциональной настройке программного обеспечения и заказчик приобретает лицензию на подключение.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исходя из требований постановления Правительства Российской Федерации от 16.11.2015 14 1236, на рассматриваемый электронный аукцион распространяется установленный им запрет.</w:t>
      </w:r>
    </w:p>
    <w:p>
      <w:pPr>
        <w:pStyle w:val="Style5"/>
        <w:keepNext w:val="0"/>
        <w:keepLines w:val="0"/>
        <w:widowControl w:val="0"/>
        <w:shd w:val="clear" w:color="auto" w:fill="auto"/>
        <w:bidi w:val="0"/>
        <w:spacing w:before="0" w:after="280" w:line="240" w:lineRule="auto"/>
        <w:ind w:left="0" w:right="0" w:firstLine="760"/>
        <w:jc w:val="both"/>
      </w:pPr>
      <w:r>
        <w:rPr>
          <w:color w:val="000000"/>
          <w:spacing w:val="0"/>
          <w:w w:val="100"/>
          <w:position w:val="0"/>
          <w:sz w:val="24"/>
          <w:szCs w:val="24"/>
          <w:shd w:val="clear" w:color="auto" w:fill="auto"/>
          <w:lang w:val="ru-RU" w:eastAsia="ru-RU" w:bidi="ru-RU"/>
        </w:rPr>
        <w:t>Однако, в извещении о проведении электронного аукциона (в действующей редакции от 21.12.2023) заказчик не установил запрет в соответствии с постановлением Правительства Российской Федерации от 16.11.2015 14 1236, чем допустил нарушение п. 15 ч. 1 ст. 42 Закона о контрактной системе.</w:t>
      </w:r>
    </w:p>
    <w:p>
      <w:pPr>
        <w:pStyle w:val="Style5"/>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проведении внеплановой проверки в действиях заказчика установлено нарушение п. 3 ч. 2 ст. 42 Закона о контрактной системе, а в действиях комиссии по осуществлению закупок заказчика установлены наращения ч. 5 ст. 49, п. 5 ч. 12 ст. 48 Закона о контрактной системе, которые заключаются в следующем.</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1. Согласно п. 3 ч. 2 ст. 42 Закона о контрактной системе извещение об осуществлении закупки должно содержать электронные документы, в числе которых: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Комиссией установлено, что заказчик 21.12.2023 разместил актуальную версию извещения о проведении закупки. Однако, электронный документ «требования к содержанию, составу заявки на участие в закупке в соответствии с настоящим Федеральным законом и инструкция по ее заполнению» заказчиком не размещен.</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Следовательно, заказчик допустил нарушение п. 3 ч. 2 ст. 42 Закона о контрактной системе.</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 xml:space="preserve">Комиссия отмечает, что в ранее размещенных редакциях извещения о проведении закупки (13.11.2023, 15.11.2023, 15.12.2023) электронный документ «требования к содержанию, составу заявки на участие в закупке в соответствии с настоящим </w:t>
      </w:r>
      <w:r>
        <w:rPr>
          <w:color w:val="000000"/>
          <w:spacing w:val="0"/>
          <w:w w:val="100"/>
          <w:position w:val="0"/>
          <w:sz w:val="24"/>
          <w:szCs w:val="24"/>
          <w:shd w:val="clear" w:color="auto" w:fill="auto"/>
          <w:lang w:val="ru-RU" w:eastAsia="ru-RU" w:bidi="ru-RU"/>
        </w:rPr>
        <w:t>Федеральным законом и инструкция по ее заполнению» присутствовал.</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2. Согласно протокола подведения итогов определения поставщика (подрядчика, исполнителя) от 09.01.2024 №ИЭА1 на участие в закупке поступило 3 заявки с идентификационным номерами 10, 171, 145.</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Заявки с идентификационными номерами 171, 145 были отклонены комиссией по осуществлению закупок заказчика по следующему основанию: «(п.4 ч.12 ст. 48) - на основании НПА, принятыми в соответствии со ст. 14 Закона 44-ФЗ (не предоставление сведений в соответствии с постановлением РФ 1236.)».</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Победителем электронного аукциона признан участник с идентификационным номером 10.</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Пунктом 2(2) постановления Правительства Российской Федерации от 16.11.2015 К 1236 установлено, что в целях реализации настоящего постановления:</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подтверждением, что программа для электронных вычислительных машин и баз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 данных.</w:t>
      </w:r>
    </w:p>
    <w:p>
      <w:pPr>
        <w:pStyle w:val="Style5"/>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Подтверждением соответствия программ для электронных вычислительных машин и баз данных требованиям, установленным настоящим постановлением,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Как установлено ранее, в извещении о проведении электронного аукциона (в действующей редакции от 21.12.2023) заказчик не установил запрет в соответствии с постановлением Правительства Российской Федерации от 16.11.2015 К 1236.</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Кроме того, требования к содержанию, составу заявки на участие в закупке заказчиком к участникам закупки в отдельном электронном документе не установлены.</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Следовательно, требования, определенные положениями постановления Правительства Российской Федерации от 16.11.2015 М 1236 о запрете допуска товаров, происходящих из иностранного государства или группы иностранных государств, заказчиком к участникам закупки не предъявлены.</w:t>
      </w:r>
    </w:p>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5"/>
        <w:keepNext w:val="0"/>
        <w:keepLines w:val="0"/>
        <w:widowControl w:val="0"/>
        <w:numPr>
          <w:ilvl w:val="0"/>
          <w:numId w:val="7"/>
        </w:numPr>
        <w:shd w:val="clear" w:color="auto" w:fill="auto"/>
        <w:tabs>
          <w:tab w:pos="933"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5"/>
        <w:keepNext w:val="0"/>
        <w:keepLines w:val="0"/>
        <w:widowControl w:val="0"/>
        <w:numPr>
          <w:ilvl w:val="0"/>
          <w:numId w:val="9"/>
        </w:numPr>
        <w:shd w:val="clear" w:color="auto" w:fill="auto"/>
        <w:tabs>
          <w:tab w:pos="929"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5"/>
        <w:keepNext w:val="0"/>
        <w:keepLines w:val="0"/>
        <w:widowControl w:val="0"/>
        <w:numPr>
          <w:ilvl w:val="0"/>
          <w:numId w:val="9"/>
        </w:numPr>
        <w:shd w:val="clear" w:color="auto" w:fill="auto"/>
        <w:tabs>
          <w:tab w:pos="929"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w:t>
      </w:r>
      <w:r>
        <w:rPr>
          <w:color w:val="000000"/>
          <w:spacing w:val="0"/>
          <w:w w:val="100"/>
          <w:position w:val="0"/>
          <w:sz w:val="24"/>
          <w:szCs w:val="24"/>
          <w:shd w:val="clear" w:color="auto" w:fill="auto"/>
          <w:lang w:val="ru-RU" w:eastAsia="ru-RU" w:bidi="ru-RU"/>
        </w:rPr>
        <w:t>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5"/>
        <w:keepNext w:val="0"/>
        <w:keepLines w:val="0"/>
        <w:widowControl w:val="0"/>
        <w:numPr>
          <w:ilvl w:val="0"/>
          <w:numId w:val="7"/>
        </w:numPr>
        <w:shd w:val="clear" w:color="auto" w:fill="auto"/>
        <w:tabs>
          <w:tab w:pos="874"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В силу п. 4, п. 5 ч. 12 ст.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w:t>
      </w:r>
    </w:p>
    <w:p>
      <w:pPr>
        <w:pStyle w:val="Style5"/>
        <w:keepNext w:val="0"/>
        <w:keepLines w:val="0"/>
        <w:widowControl w:val="0"/>
        <w:numPr>
          <w:ilvl w:val="0"/>
          <w:numId w:val="11"/>
        </w:numPr>
        <w:shd w:val="clear" w:color="auto" w:fill="auto"/>
        <w:tabs>
          <w:tab w:pos="736"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5"/>
        <w:keepNext w:val="0"/>
        <w:keepLines w:val="0"/>
        <w:widowControl w:val="0"/>
        <w:numPr>
          <w:ilvl w:val="0"/>
          <w:numId w:val="11"/>
        </w:numPr>
        <w:shd w:val="clear" w:color="auto" w:fill="auto"/>
        <w:tabs>
          <w:tab w:pos="748"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w:t>
      </w:r>
      <w:r>
        <w:rPr>
          <w:color w:val="000000"/>
          <w:spacing w:val="0"/>
          <w:w w:val="100"/>
          <w:position w:val="0"/>
          <w:sz w:val="24"/>
          <w:szCs w:val="24"/>
          <w:u w:val="single"/>
          <w:shd w:val="clear" w:color="auto" w:fill="auto"/>
          <w:lang w:val="ru-RU" w:eastAsia="ru-RU" w:bidi="ru-RU"/>
        </w:rPr>
        <w:t xml:space="preserve">в случае установления в соответствии со статьей 14 настоящего Федерального закона в извещении об осуществлении закупки </w:t>
      </w:r>
      <w:r>
        <w:rPr>
          <w:i/>
          <w:iCs/>
          <w:color w:val="000000"/>
          <w:spacing w:val="0"/>
          <w:w w:val="100"/>
          <w:position w:val="0"/>
          <w:sz w:val="24"/>
          <w:szCs w:val="24"/>
          <w:u w:val="single"/>
          <w:shd w:val="clear" w:color="auto" w:fill="auto"/>
          <w:lang w:val="ru-RU" w:eastAsia="ru-RU" w:bidi="ru-RU"/>
        </w:rPr>
        <w:t>запрета допуска товаров,</w:t>
      </w:r>
      <w:r>
        <w:rPr>
          <w:color w:val="000000"/>
          <w:spacing w:val="0"/>
          <w:w w:val="100"/>
          <w:position w:val="0"/>
          <w:sz w:val="24"/>
          <w:szCs w:val="24"/>
          <w:u w:val="single"/>
          <w:shd w:val="clear" w:color="auto" w:fill="auto"/>
          <w:lang w:val="ru-RU" w:eastAsia="ru-RU" w:bidi="ru-RU"/>
        </w:rPr>
        <w:t xml:space="preserve"> происходящих из иностранного государства или группы иностранных государств</w:t>
      </w:r>
      <w:r>
        <w:rPr>
          <w:color w:val="000000"/>
          <w:spacing w:val="0"/>
          <w:w w:val="100"/>
          <w:position w:val="0"/>
          <w:sz w:val="24"/>
          <w:szCs w:val="24"/>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С учетом изложенного, комиссия по осуществлению закупок заказчика не имела правовых оснований, указанных в протоколе подведения итогов определения поставщика (подрядчика, исполнителя) от 09.01.2024 №ИЭА1, для отклонения заявки участников с идентификационными номерами 171, 145.</w:t>
      </w:r>
    </w:p>
    <w:p>
      <w:pPr>
        <w:pStyle w:val="Style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Однако, в нарушение ч. 5 ст. 49, п. 5 ч. 12 ст. 48 Закона о контрактной системе комиссия по осуществлению закупок заказчика неправомерно отклонила заявку как на основании отсутствия в заявке документов и информации, предусмотренных постановлением Правительства Российской Федерации от 16.11.2015 14 1236, так и на основании положения п. 4 ч. 12 ст. 48 Закона о контрактной системе, не позволяющего отклонить заявку при установлении запрета допуска товаров, происходящих из иностранного государства или группы иностранных государств.</w:t>
      </w:r>
    </w:p>
    <w:p>
      <w:pPr>
        <w:pStyle w:val="Style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Установленные нарушения ст. 42 Закона о контрактной системе содержат признаки совершения административного правонарушения, предусмотренного ч. 1.4 ст. 7.30 КоАП РФ. Нарушения ст. 48, ст. 49 Закона о контрактной системе содержат признаки совершения административного правонарушения, предусмотренного ч. 2 ст. 7.30 КоАП РФ.</w:t>
      </w:r>
    </w:p>
    <w:p>
      <w:pPr>
        <w:pStyle w:val="Style5"/>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Руководствуясь ст.ст. 99, 105, 106 Закона о контрактной системе, Комиссия</w:t>
      </w:r>
      <w:r>
        <w:br w:type="page"/>
      </w:r>
    </w:p>
    <w:p>
      <w:pPr>
        <w:pStyle w:val="Style5"/>
        <w:keepNext w:val="0"/>
        <w:keepLines w:val="0"/>
        <w:widowControl w:val="0"/>
        <w:shd w:val="clear" w:color="auto" w:fill="auto"/>
        <w:bidi w:val="0"/>
        <w:spacing w:before="0" w:after="30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5"/>
        <w:keepNext w:val="0"/>
        <w:keepLines w:val="0"/>
        <w:widowControl w:val="0"/>
        <w:numPr>
          <w:ilvl w:val="0"/>
          <w:numId w:val="13"/>
        </w:numPr>
        <w:shd w:val="clear" w:color="auto" w:fill="auto"/>
        <w:tabs>
          <w:tab w:pos="897"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Признать жалобу ООО Научно-инженерный центр «Технологии» на положения извещения о проведении электронного аукциона на проведение мероприятий по оборудованию системой видеонаблюдения объекта (территории), архивированию и хранению информации в ГУЗ "ЛГБ №4 "ЛипецкМед" расположенная по адресу: г. Липецк, ул. Коммунистическая, д. 24 (реестровый номер 0346300106723000286) обоснованной.</w:t>
      </w:r>
    </w:p>
    <w:p>
      <w:pPr>
        <w:pStyle w:val="Style5"/>
        <w:keepNext w:val="0"/>
        <w:keepLines w:val="0"/>
        <w:widowControl w:val="0"/>
        <w:numPr>
          <w:ilvl w:val="0"/>
          <w:numId w:val="1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действиях заказчика установлены нарушения 15 ч. 1 ст. 42, п. 3 ч. 2 ст. 42 Закона о контрактной системе.</w:t>
      </w:r>
    </w:p>
    <w:p>
      <w:pPr>
        <w:pStyle w:val="Style5"/>
        <w:keepNext w:val="0"/>
        <w:keepLines w:val="0"/>
        <w:widowControl w:val="0"/>
        <w:numPr>
          <w:ilvl w:val="0"/>
          <w:numId w:val="1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действиях комиссии по осуществлению закупок заказчика установлены нарушения ч. 5 ст. 49, п. 5 ч. 12 ст. 48 Закона о контрактной системе.</w:t>
      </w:r>
    </w:p>
    <w:p>
      <w:pPr>
        <w:pStyle w:val="Style5"/>
        <w:keepNext w:val="0"/>
        <w:keepLines w:val="0"/>
        <w:widowControl w:val="0"/>
        <w:numPr>
          <w:ilvl w:val="0"/>
          <w:numId w:val="13"/>
        </w:numPr>
        <w:shd w:val="clear" w:color="auto" w:fill="auto"/>
        <w:tabs>
          <w:tab w:pos="1424"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Выдать предписание об устранении нарушений.</w:t>
      </w:r>
    </w:p>
    <w:p>
      <w:pPr>
        <w:pStyle w:val="Style5"/>
        <w:keepNext w:val="0"/>
        <w:keepLines w:val="0"/>
        <w:widowControl w:val="0"/>
        <w:numPr>
          <w:ilvl w:val="0"/>
          <w:numId w:val="13"/>
        </w:numPr>
        <w:shd w:val="clear" w:color="auto" w:fill="auto"/>
        <w:tabs>
          <w:tab w:pos="893" w:val="left"/>
        </w:tabs>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pPr>
        <w:pStyle w:val="Style5"/>
        <w:keepNext w:val="0"/>
        <w:keepLines w:val="0"/>
        <w:widowControl w:val="0"/>
        <w:shd w:val="clear" w:color="auto" w:fill="auto"/>
        <w:bidi w:val="0"/>
        <w:spacing w:before="0" w:after="620" w:line="240" w:lineRule="auto"/>
        <w:ind w:left="0" w:right="0" w:firstLine="560"/>
        <w:jc w:val="both"/>
      </w:pPr>
      <w:r>
        <w:rPr>
          <w:color w:val="000000"/>
          <w:spacing w:val="0"/>
          <w:w w:val="100"/>
          <w:position w:val="0"/>
          <w:sz w:val="24"/>
          <w:szCs w:val="24"/>
          <w:shd w:val="clear" w:color="auto" w:fill="auto"/>
          <w:lang w:val="ru-RU" w:eastAsia="ru-RU" w:bidi="ru-RU"/>
        </w:rPr>
        <w:t>Решение может быть обжаловано в арбитражный суд в течение трех месяцев со дня его вынесения.</w:t>
      </w:r>
    </w:p>
    <w:p>
      <w:pPr>
        <w:pStyle w:val="Style5"/>
        <w:keepNext w:val="0"/>
        <w:keepLines w:val="0"/>
        <w:widowControl w:val="0"/>
        <w:shd w:val="clear" w:color="auto" w:fill="auto"/>
        <w:bidi w:val="0"/>
        <w:spacing w:before="0" w:after="860" w:line="254"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5"/>
        <w:keepNext w:val="0"/>
        <w:keepLines w:val="0"/>
        <w:widowControl w:val="0"/>
        <w:shd w:val="clear" w:color="auto" w:fill="auto"/>
        <w:bidi w:val="0"/>
        <w:spacing w:before="0" w:after="80" w:line="254" w:lineRule="auto"/>
        <w:ind w:left="0" w:right="0" w:firstLine="0"/>
        <w:jc w:val="left"/>
      </w:pPr>
      <w:r>
        <w:rPr>
          <w:color w:val="000000"/>
          <w:spacing w:val="0"/>
          <w:w w:val="100"/>
          <w:position w:val="0"/>
          <w:sz w:val="24"/>
          <w:szCs w:val="24"/>
          <w:shd w:val="clear" w:color="auto" w:fill="auto"/>
          <w:lang w:val="ru-RU" w:eastAsia="ru-RU" w:bidi="ru-RU"/>
        </w:rPr>
        <w:t>Заместитель председателя Комиссии</w:t>
      </w:r>
    </w:p>
    <w:p>
      <w:pPr>
        <w:pStyle w:val="Style5"/>
        <w:keepNext w:val="0"/>
        <w:keepLines w:val="0"/>
        <w:widowControl w:val="0"/>
        <w:shd w:val="clear" w:color="auto" w:fill="auto"/>
        <w:bidi w:val="0"/>
        <w:spacing w:before="0" w:after="40" w:line="254" w:lineRule="auto"/>
        <w:ind w:left="0" w:right="0" w:firstLine="0"/>
        <w:jc w:val="both"/>
      </w:pPr>
      <w:r>
        <w:drawing>
          <wp:anchor distT="0" distB="0" distL="114300" distR="114300" simplePos="0" relativeHeight="125829382" behindDoc="0" locked="0" layoutInCell="1" allowOverlap="1">
            <wp:simplePos x="0" y="0"/>
            <wp:positionH relativeFrom="page">
              <wp:posOffset>4378960</wp:posOffset>
            </wp:positionH>
            <wp:positionV relativeFrom="margin">
              <wp:posOffset>3169285</wp:posOffset>
            </wp:positionV>
            <wp:extent cx="2694305" cy="1810385"/>
            <wp:wrapSquare wrapText="lef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6"/>
                    <a:stretch/>
                  </pic:blipFill>
                  <pic:spPr>
                    <a:xfrm>
                      <a:ext cx="2694305" cy="1810385"/>
                    </a:xfrm>
                    <a:prstGeom prst="rect"/>
                  </pic:spPr>
                </pic:pic>
              </a:graphicData>
            </a:graphic>
          </wp:anchor>
        </w:drawing>
      </w:r>
      <w:r>
        <w:rPr>
          <w:color w:val="000000"/>
          <w:spacing w:val="0"/>
          <w:w w:val="100"/>
          <w:position w:val="0"/>
          <w:sz w:val="24"/>
          <w:szCs w:val="24"/>
          <w:shd w:val="clear" w:color="auto" w:fill="auto"/>
          <w:lang w:val="ru-RU" w:eastAsia="ru-RU" w:bidi="ru-RU"/>
        </w:rPr>
        <w:t>Член Комиссии</w:t>
      </w:r>
    </w:p>
    <w:sectPr>
      <w:footnotePr>
        <w:pos w:val="pageBottom"/>
        <w:numFmt w:val="decimal"/>
        <w:numRestart w:val="continuous"/>
      </w:footnotePr>
      <w:type w:val="continuous"/>
      <w:pgSz w:w="11900" w:h="16840"/>
      <w:pgMar w:top="1290" w:right="672" w:bottom="1583" w:left="1214" w:header="86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918210</wp:posOffset>
              </wp:positionH>
              <wp:positionV relativeFrom="page">
                <wp:posOffset>9751695</wp:posOffset>
              </wp:positionV>
              <wp:extent cx="557530" cy="105410"/>
              <wp:wrapNone/>
              <wp:docPr id="3" name="Shape 3"/>
              <a:graphic xmlns:a="http://schemas.openxmlformats.org/drawingml/2006/main">
                <a:graphicData uri="http://schemas.microsoft.com/office/word/2010/wordprocessingShape">
                  <wps:wsp>
                    <wps:cNvSpPr txBox="1"/>
                    <wps:spPr>
                      <a:xfrm>
                        <a:ext cx="557530" cy="10541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2024-204</w:t>
                          </w:r>
                        </w:p>
                      </w:txbxContent>
                    </wps:txbx>
                    <wps:bodyPr wrap="none" lIns="0" tIns="0" rIns="0" bIns="0">
                      <a:spAutoFit/>
                    </wps:bodyPr>
                  </wps:wsp>
                </a:graphicData>
              </a:graphic>
            </wp:anchor>
          </w:drawing>
        </mc:Choice>
        <mc:Fallback>
          <w:pict>
            <v:shape id="_x0000_s1029" type="#_x0000_t202" style="position:absolute;margin-left:72.299999999999997pt;margin-top:767.85000000000002pt;width:43.899999999999999pt;height:8.3000000000000007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2024-204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0" w:line="276"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3)"/>
    <w:basedOn w:val="Normal"/>
    <w:link w:val="CharStyle11"/>
    <w:pPr>
      <w:widowControl w:val="0"/>
      <w:shd w:val="clear" w:color="auto" w:fill="auto"/>
      <w:spacing w:after="420"/>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Заголовок №1"/>
    <w:basedOn w:val="Normal"/>
    <w:link w:val="CharStyle13"/>
    <w:pPr>
      <w:widowControl w:val="0"/>
      <w:shd w:val="clear" w:color="auto" w:fill="auto"/>
      <w:spacing w:after="180"/>
      <w:ind w:left="3640"/>
      <w:outlineLvl w:val="0"/>
    </w:pPr>
    <w:rPr>
      <w:rFonts w:ascii="Arial" w:eastAsia="Arial" w:hAnsi="Arial" w:cs="Arial"/>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s>
</file>