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80" w:right="526" w:bottom="1292" w:left="1053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19"/>
          <w:szCs w:val="19"/>
        </w:rPr>
      </w:pPr>
      <w:r>
        <mc:AlternateContent>
          <mc:Choice Requires="wps">
            <w:drawing>
              <wp:anchor distT="0" distB="320040" distL="167005" distR="201295" simplePos="0" relativeHeight="125829378" behindDoc="0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50800</wp:posOffset>
                </wp:positionV>
                <wp:extent cx="2569210" cy="237045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2370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47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СЛУЖБА</w:t>
                              <w:br/>
                              <w:t>ГОСУДАРСТВЕННОГО</w:t>
                              <w:br/>
                              <w:t>ФИНАНСОВОГО КОНТРОЛЯ</w:t>
                              <w:br/>
                              <w:t>РЕСПУБЛИКИ ДАГЕСТАН</w:t>
                              <w:br/>
                              <w:t>(Госфинконтроль РД)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367002, Республика Дагестан,</w:t>
                              <w:br/>
                              <w:t>г. Махачкала, ул. Абубакарова, д.67</w:t>
                              <w:br/>
                              <w:t>телефакс (8722) 67-20-64</w:t>
                              <w:br/>
                              <w:t>8§Гкгс1@таП.1Т1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8.150000000000006pt;margin-top:4.pt;width:202.30000000000001pt;height:186.65000000000001pt;z-index:-125829375;mso-wrap-distance-left:13.15pt;mso-wrap-distance-right:15.85pt;mso-wrap-distance-bottom:25.1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47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СЛУЖБА</w:t>
                        <w:br/>
                        <w:t>ГОСУДАРСТВЕННОГО</w:t>
                        <w:br/>
                        <w:t>ФИНАНСОВОГО КОНТРОЛЯ</w:t>
                        <w:br/>
                        <w:t>РЕСПУБЛИКИ ДАГЕСТАН</w:t>
                        <w:br/>
                        <w:t>(Госфинконтроль РД)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367002, Республика Дагестан,</w:t>
                        <w:br/>
                        <w:t>г. Махачкала, ул. Абубакарова, д.67</w:t>
                        <w:br/>
                        <w:t>телефакс (8722) 67-20-64</w:t>
                        <w:br/>
                        <w:t>8§Гкгс1@таП.1Т1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480310" distB="0" distL="114300" distR="114300" simplePos="0" relativeHeight="125829380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2531110</wp:posOffset>
                </wp:positionV>
                <wp:extent cx="2708910" cy="210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89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82" w:val="left"/>
                                <w:tab w:leader="underscore" w:pos="415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-// С /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4.pt;margin-top:199.30000000000001pt;width:213.30000000000001pt;height:16.550000000000001pt;z-index:-125829373;mso-wrap-distance-left:9.pt;mso-wrap-distance-top:195.3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82" w:val="left"/>
                          <w:tab w:leader="underscore" w:pos="415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-// С /</w:t>
                      </w:r>
                      <w:r>
                        <w:rPr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>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Государственпое казенное учреждение</w:t>
        <w:br/>
        <w:t>Республики Дагестан «Дирекция единого</w:t>
        <w:br/>
        <w:t>государственного заказчика-застройщика»</w:t>
        <w:br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367010, РД, г. Махачкала, ул. Малыгина, 1,</w:t>
        <w:br/>
        <w:t xml:space="preserve">е-таП: </w:t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>цки-1еп&lt;Дег@таИ.ги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по государственным закупкам</w:t>
        <w:br/>
        <w:t>Республики Дагестан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367002, РД, г. Махачкала, ул. Абубакарова, 67,</w:t>
        <w:br/>
        <w:t xml:space="preserve">е-таП: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2акирк1@е-бад.ги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</w:t>
        <w:br/>
        <w:t>ответственностью «Профиль»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367030, РД, г. Махачкала, пр-кт. И. Шамиля, д. 76а,</w:t>
        <w:br/>
        <w:t xml:space="preserve">этаж 5, офис 14, е-таП: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ргоб1-77@таП.ги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05-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^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/Р/2024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Службы государственного финансового контроля</w:t>
        <w:br/>
        <w:t>Республики Дагестан по рассмотрению жалоб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Службы государственного финансового контроля Республики Дагестан по рассмотрению жалоб (далее - Комиссия)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(ведущего заседание) - Кашкаева Фархада Дадиевича - начальник отдела контроля в сфере закупок Госфинконтроля РД;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Агаева Руслана Магомедовича - заместитель начальника отдела контроля в сфере закупок Госфинконтроля РД;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Раджабова Серажутдипа Бадрутдиновича - консультант отдела контроля в сфере закупок Госфинконтроля РД,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общества с ограниченной ответственностью «Профиль» (далее - Заявитель) на действия комиссии по осуществлению закупок Комитета по государственным закупкам Республики Дагестан (далее - Уполномоченный органа) при рассмотрении заявок участников запроса котировок в электронной форме с номером извещения 0103200008423003440 «Восстановительные работы по благоустройству и озеленению территории дошкольной образовательной организации на 250 мест в с. Тагиркент сельсовета «Эбдалаянский» муниципального района «Левашинский район» Республики Дагестан (Лот 2), в отсутствии представителя Заявителя, Уполномоченного органа Заказчика (извещены),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Госфинконтроль РД 27 декабря 2023 года поступила жалоба Заявителя на действия комиссии по осуществлению закупок Уполномоченного органа при рассмотрении заявок участников запроса котировок в электронной форме с номером извещения 0103200008423003440 «Восстановительные работы по благоустройству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извещения 0103200008423003440 «Восстановительные работы по благоустройству и озеленению территории дошкольной образовательной организации на 250 мест в с. Тагиркент сельсовета «Эбдалаянский» муниципального района «Левашинский район» Республики Дагестан (Лот 2) (далее - запрос котировок).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указывается, что комиссией по осуществлению закупок Уполномоченного органа, неправомерно отклонена заявка Заявителя на участие в запросе котировок, ввиду отсутствия в протоколе подведения итогов определения поставщика (подрядчика, исполнителя) обоснования отклонения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представленную информацию (документы), проведя анализ информации, содержащейся в единой информационной системе в сфере закупок (далее - Единая информационная системе), а также на электронной площадке АО «Единая электронная торговая площадка», выслушав представителей Заявителя и Уполномоченного органа, Комиссия 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 Уполномоченным органом на основании заявки государственного казенного учреждения Республики Дагестан «Дирекция единого государственного заказчика-застройщика» (далее - Заказчик) в Единой информационной системе было размещено извещение о проведении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- 5 717 000,00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25 декабря 2023 года № ИЗК1 заявка Заявителя с идентификационным номером 10 отклонена комиссией по осуществлению закупок Уполномоченного органа на основании пункта 3 части 12 статьи 48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 связи с несоответствием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частью 1.1, 2 и 2.1 статьи 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 части 3 статьи 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0" w:right="526" w:bottom="1292" w:left="1053" w:header="652" w:footer="86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2 части 17 статьи 48 Закона о контрактной системе протокол подведения итогов определения поставщика (подрядчика, исполнителя) должен содержать следующую информацию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Законом о контрактной системе, с обоснованием такого решения и указанием положений Закона о контрактной системе, извещения об 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размещенный в Единой информационной системе Протокол подведения итогов определения поставщика (подрядчика, исполнителя) от 25 декабря 2023 года № ИЗК1, составленный по результатам рассмотрения заявок участников запроса котировок, не содержит обоснование решения принятого комиссией по осуществлению закупок Уполномоченного органа об отклонении заявки Заявителя на участие в закупке, в том числе с указанием положений извещения об осуществлении закупки, которым не соответствует заявка на участие в нем, положений заявки на участие в закупке, которые не соответствуют требованиям, установленным извещением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действия комиссии по осуществлению закупок Уполномоченного органа, оформившей ненадлежащим образом Протокол подведения итогов определения поставщика (подрядчика, исполнителя) от 25 декабря 2023 года № ИЗК1, нарушают пункт 2 части 3 статьи 50 Закона о контрактной системе, соответственно довод жалобы Заявителя обоснован.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105, 106 Закона о контрактной системе, Комиссия,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Заявителя признать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по осуществлению закупок Уполномоченного органа нарушение пункт 2 части 3 статьи 50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по результатам запроса котировок заключен государственный контракт предписание об устранении выявленного нарушения не выдавать.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уполномоченному должностному лицу для рассмотрения вопроса о привлечении виновных должностных лиц к административной ответственности.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720"/>
        <w:jc w:val="both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3971925</wp:posOffset>
            </wp:positionH>
            <wp:positionV relativeFrom="paragraph">
              <wp:posOffset>800100</wp:posOffset>
            </wp:positionV>
            <wp:extent cx="2858770" cy="147510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58770" cy="14751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erReference w:type="default" r:id="rId7"/>
      <w:footnotePr>
        <w:pos w:val="pageBottom"/>
        <w:numFmt w:val="decimal"/>
        <w:numRestart w:val="continuous"/>
      </w:footnotePr>
      <w:pgSz w:w="11900" w:h="16840"/>
      <w:pgMar w:top="1080" w:right="526" w:bottom="1292" w:left="1053" w:header="652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7153910</wp:posOffset>
              </wp:positionH>
              <wp:positionV relativeFrom="page">
                <wp:posOffset>10264140</wp:posOffset>
              </wp:positionV>
              <wp:extent cx="41275" cy="5016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75" cy="501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ru-RU" w:eastAsia="ru-RU" w:bidi="ru-RU"/>
                            </w:rPr>
                            <w:t>о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3.30000000000007pt;margin-top:808.20000000000005pt;width:3.25pt;height:3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ru-RU" w:eastAsia="ru-RU" w:bidi="ru-RU"/>
                      </w:rPr>
                      <w:t>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64"/>
      <w:szCs w:val="64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Arial" w:eastAsia="Arial" w:hAnsi="Arial" w:cs="Arial"/>
      <w:b w:val="0"/>
      <w:bCs w:val="0"/>
      <w:i/>
      <w:iCs/>
      <w:smallCaps w:val="0"/>
      <w:strike w:val="0"/>
      <w:color w:val="343852"/>
      <w:sz w:val="22"/>
      <w:szCs w:val="22"/>
      <w:u w:val="single"/>
    </w:rPr>
  </w:style>
  <w:style w:type="character" w:customStyle="1" w:styleId="CharStyle17">
    <w:name w:val="Основной текст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3">
    <w:name w:val="Колонтитул (2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4"/>
      <w:szCs w:val="64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24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Arial" w:eastAsia="Arial" w:hAnsi="Arial" w:cs="Arial"/>
      <w:b w:val="0"/>
      <w:bCs w:val="0"/>
      <w:i/>
      <w:iCs/>
      <w:smallCaps w:val="0"/>
      <w:strike w:val="0"/>
      <w:color w:val="343852"/>
      <w:sz w:val="22"/>
      <w:szCs w:val="22"/>
      <w:u w:val="single"/>
    </w:rPr>
  </w:style>
  <w:style w:type="paragraph" w:customStyle="1" w:styleId="Style16">
    <w:name w:val="Основной текст (2)"/>
    <w:basedOn w:val="Normal"/>
    <w:link w:val="CharStyle17"/>
    <w:pPr>
      <w:widowControl w:val="0"/>
      <w:shd w:val="clear" w:color="auto" w:fill="auto"/>
      <w:spacing w:after="11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2">
    <w:name w:val="Колонтитул (2)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