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0" w:line="240" w:lineRule="auto"/>
        <w:ind w:left="4320" w:right="0" w:firstLine="0"/>
        <w:jc w:val="both"/>
      </w:pPr>
      <w:r>
        <w:rPr>
          <w:b/>
          <w:bCs/>
          <w:color w:val="000000"/>
          <w:spacing w:val="0"/>
          <w:w w:val="100"/>
          <w:position w:val="0"/>
          <w:sz w:val="24"/>
          <w:szCs w:val="24"/>
          <w:shd w:val="clear" w:color="auto" w:fill="auto"/>
          <w:lang w:val="ru-RU" w:eastAsia="ru-RU" w:bidi="ru-RU"/>
        </w:rPr>
        <w:t>Решение № 45-1</w:t>
      </w:r>
    </w:p>
    <w:p>
      <w:pPr>
        <w:pStyle w:val="Style5"/>
        <w:keepNext/>
        <w:keepLines/>
        <w:widowControl w:val="0"/>
        <w:shd w:val="clear" w:color="auto" w:fill="auto"/>
        <w:bidi w:val="0"/>
        <w:spacing w:before="0" w:after="0" w:line="240" w:lineRule="auto"/>
        <w:ind w:left="0" w:right="0" w:firstLine="0"/>
        <w:jc w:val="center"/>
      </w:pPr>
      <w:bookmarkStart w:id="0" w:name="bookmark0"/>
      <w:r>
        <w:rPr>
          <w:spacing w:val="0"/>
          <w:w w:val="100"/>
          <w:position w:val="0"/>
          <w:sz w:val="24"/>
          <w:szCs w:val="24"/>
          <w:shd w:val="clear" w:color="auto" w:fill="auto"/>
          <w:lang w:val="ru-RU" w:eastAsia="ru-RU" w:bidi="ru-RU"/>
        </w:rPr>
        <w:t>по результатам рассмотрения жалобы о нарушении законодательства</w:t>
        <w:br/>
        <w:t>Российской Федерации о контрактной системе в сфере закупок товаров, работ, услуг</w:t>
        <w:br/>
        <w:t>для обеспечения государственных нужд</w:t>
      </w:r>
      <w:bookmarkEnd w:id="0"/>
    </w:p>
    <w:p>
      <w:pPr>
        <w:pStyle w:val="Style2"/>
        <w:keepNext w:val="0"/>
        <w:keepLines w:val="0"/>
        <w:widowControl w:val="0"/>
        <w:shd w:val="clear" w:color="auto" w:fill="auto"/>
        <w:tabs>
          <w:tab w:pos="8534" w:val="left"/>
        </w:tabs>
        <w:bidi w:val="0"/>
        <w:spacing w:before="0" w:after="260" w:line="240" w:lineRule="auto"/>
        <w:ind w:left="0" w:right="0" w:firstLine="0"/>
        <w:jc w:val="both"/>
      </w:pPr>
      <w:r>
        <w:rPr>
          <w:color w:val="000000"/>
          <w:spacing w:val="0"/>
          <w:w w:val="100"/>
          <w:position w:val="0"/>
          <w:sz w:val="24"/>
          <w:szCs w:val="24"/>
          <w:shd w:val="clear" w:color="auto" w:fill="auto"/>
          <w:lang w:val="ru-RU" w:eastAsia="ru-RU" w:bidi="ru-RU"/>
        </w:rPr>
        <w:t>г. Якутск, ул. Кирова, 12</w:t>
        <w:tab/>
        <w:t>11.01.2024</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по рассмотрению жалоб на действия (бездействие)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Министерства финансов Республики Саха (Якутия) (далее - Комиссия Министерства), в составе:</w:t>
      </w:r>
    </w:p>
    <w:p>
      <w:pPr>
        <w:pStyle w:val="Style2"/>
        <w:keepNext w:val="0"/>
        <w:keepLines w:val="0"/>
        <w:widowControl w:val="0"/>
        <w:numPr>
          <w:ilvl w:val="0"/>
          <w:numId w:val="1"/>
        </w:numPr>
        <w:shd w:val="clear" w:color="auto" w:fill="auto"/>
        <w:tabs>
          <w:tab w:pos="922"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заместитель министра финансов Республики Саха (Якутия) Иванова В.П.;</w:t>
      </w:r>
    </w:p>
    <w:p>
      <w:pPr>
        <w:pStyle w:val="Style2"/>
        <w:keepNext w:val="0"/>
        <w:keepLines w:val="0"/>
        <w:widowControl w:val="0"/>
        <w:numPr>
          <w:ilvl w:val="0"/>
          <w:numId w:val="1"/>
        </w:numPr>
        <w:shd w:val="clear" w:color="auto" w:fill="auto"/>
        <w:tabs>
          <w:tab w:pos="922"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руководитель Департамента бюджетно-финансового контроля Бястинова В.А.;</w:t>
      </w:r>
    </w:p>
    <w:p>
      <w:pPr>
        <w:pStyle w:val="Style2"/>
        <w:keepNext w:val="0"/>
        <w:keepLines w:val="0"/>
        <w:widowControl w:val="0"/>
        <w:numPr>
          <w:ilvl w:val="0"/>
          <w:numId w:val="1"/>
        </w:numPr>
        <w:shd w:val="clear" w:color="auto" w:fill="auto"/>
        <w:tabs>
          <w:tab w:pos="90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руководитель отдела контроля в сфере закупок и в отраслях экономики Департамента бюджетно-финансового контроля Федоров М.С.;</w:t>
      </w:r>
    </w:p>
    <w:p>
      <w:pPr>
        <w:pStyle w:val="Style2"/>
        <w:keepNext w:val="0"/>
        <w:keepLines w:val="0"/>
        <w:widowControl w:val="0"/>
        <w:numPr>
          <w:ilvl w:val="0"/>
          <w:numId w:val="1"/>
        </w:numPr>
        <w:shd w:val="clear" w:color="auto" w:fill="auto"/>
        <w:tabs>
          <w:tab w:pos="91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главный контролер-ревизор отдела контроля в сфере закупок и в отраслях экономики Департамента бюджетно-финансового контроля Иванов Р.В.;</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отсутствие:</w:t>
      </w:r>
    </w:p>
    <w:p>
      <w:pPr>
        <w:pStyle w:val="Style2"/>
        <w:keepNext w:val="0"/>
        <w:keepLines w:val="0"/>
        <w:widowControl w:val="0"/>
        <w:shd w:val="clear" w:color="auto" w:fill="auto"/>
        <w:bidi w:val="0"/>
        <w:spacing w:before="0" w:after="260" w:line="240" w:lineRule="auto"/>
        <w:ind w:left="0" w:right="0" w:firstLine="720"/>
        <w:jc w:val="both"/>
      </w:pPr>
      <w:r>
        <w:rPr>
          <w:color w:val="000000"/>
          <w:spacing w:val="0"/>
          <w:w w:val="100"/>
          <w:position w:val="0"/>
          <w:sz w:val="24"/>
          <w:szCs w:val="24"/>
          <w:shd w:val="clear" w:color="auto" w:fill="auto"/>
          <w:lang w:val="ru-RU" w:eastAsia="ru-RU" w:bidi="ru-RU"/>
        </w:rPr>
        <w:t>заявителя - ООО «КоннекТ», уполномоченного учреждения - ГКУ РС(Я) «Центр закупок РС(Я)», заказчика - ГБУ РС(Я) «Момская центральная районная больница», уведомлены надлежащим образом,</w:t>
      </w:r>
    </w:p>
    <w:p>
      <w:pPr>
        <w:pStyle w:val="Style2"/>
        <w:keepNext w:val="0"/>
        <w:keepLines w:val="0"/>
        <w:widowControl w:val="0"/>
        <w:shd w:val="clear" w:color="auto" w:fill="auto"/>
        <w:bidi w:val="0"/>
        <w:spacing w:before="0" w:after="260" w:line="240" w:lineRule="auto"/>
        <w:ind w:left="0" w:right="0" w:firstLine="720"/>
        <w:jc w:val="both"/>
      </w:pPr>
      <w:r>
        <w:rPr>
          <w:color w:val="000000"/>
          <w:spacing w:val="0"/>
          <w:w w:val="100"/>
          <w:position w:val="0"/>
          <w:sz w:val="24"/>
          <w:szCs w:val="24"/>
          <w:shd w:val="clear" w:color="auto" w:fill="auto"/>
          <w:lang w:val="ru-RU" w:eastAsia="ru-RU" w:bidi="ru-RU"/>
        </w:rPr>
        <w:t>рассмотрев жалобу ООО «КоннекТ» на действия (бездействие) комиссии по осуществлению закупок ГКУ РС(Я) «Центр закупок РС(Я)» при осуществлении закупки на поставку ИБП (источник бесперебойного питания) для оснащения объекта «Больничный комплекс на 22 койки с поликлиникой на 104 посещения в смену в с. Хонуу Момского района» (извещение №</w:t>
      </w:r>
      <w:r>
        <w:fldChar w:fldCharType="begin"/>
      </w:r>
      <w:r>
        <w:rPr/>
        <w:instrText> HYPERLINK "https://zakupki.gov.ru/epz/order/notice/view/common-info.html?regNumber=0816500000623023418" </w:instrText>
      </w:r>
      <w:r>
        <w:fldChar w:fldCharType="separate"/>
      </w:r>
      <w:r>
        <w:rPr>
          <w:color w:val="000000"/>
          <w:spacing w:val="0"/>
          <w:w w:val="100"/>
          <w:position w:val="0"/>
          <w:sz w:val="24"/>
          <w:szCs w:val="24"/>
          <w:shd w:val="clear" w:color="auto" w:fill="auto"/>
          <w:lang w:val="ru-RU" w:eastAsia="ru-RU" w:bidi="ru-RU"/>
        </w:rPr>
        <w:t xml:space="preserve"> </w:t>
      </w:r>
      <w:r>
        <w:rPr>
          <w:color w:val="000000"/>
          <w:spacing w:val="0"/>
          <w:w w:val="100"/>
          <w:position w:val="0"/>
          <w:sz w:val="26"/>
          <w:szCs w:val="26"/>
          <w:shd w:val="clear" w:color="auto" w:fill="auto"/>
          <w:lang w:val="ru-RU" w:eastAsia="ru-RU" w:bidi="ru-RU"/>
        </w:rPr>
        <w:t>0816500000623023418</w:t>
      </w:r>
      <w:r>
        <w:rPr>
          <w:color w:val="000000"/>
          <w:spacing w:val="0"/>
          <w:w w:val="100"/>
          <w:position w:val="0"/>
          <w:sz w:val="24"/>
          <w:szCs w:val="24"/>
          <w:shd w:val="clear" w:color="auto" w:fill="auto"/>
          <w:lang w:val="ru-RU" w:eastAsia="ru-RU" w:bidi="ru-RU"/>
        </w:rPr>
        <w:t>)</w:t>
      </w:r>
      <w:r>
        <w:fldChar w:fldCharType="end"/>
      </w:r>
      <w:r>
        <w:rPr>
          <w:color w:val="000000"/>
          <w:spacing w:val="0"/>
          <w:w w:val="100"/>
          <w:position w:val="0"/>
          <w:sz w:val="24"/>
          <w:szCs w:val="24"/>
          <w:shd w:val="clear" w:color="auto" w:fill="auto"/>
          <w:lang w:val="ru-RU" w:eastAsia="ru-RU" w:bidi="ru-RU"/>
        </w:rPr>
        <w:t>, в части неправомерного подведения итогов при проведении запроса котировок в электронной форме, руководствуясь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 ФЗ), Правилами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банков, государственной корпорации развития «ВЭБ.РФ», региональных гарантийных организаций, утвержденных Постановлением Правительства РФ от 01.10.2020 № 1576, Правилами ведения реестра жалоб, плановых и внеплановых проверок, принятых по ним решений и выданных предписаний, представлений, предусмотренных федеральным законом «О контрактной системе в сфере закупок товаров, работ, услуг для обеспечения государственных и муниципальных нужд», утвержденных Постановлением Правительства РФ от 27.01.2022 № 60,</w:t>
      </w:r>
    </w:p>
    <w:p>
      <w:pPr>
        <w:pStyle w:val="Style2"/>
        <w:keepNext w:val="0"/>
        <w:keepLines w:val="0"/>
        <w:widowControl w:val="0"/>
        <w:shd w:val="clear" w:color="auto" w:fill="auto"/>
        <w:bidi w:val="0"/>
        <w:spacing w:before="0" w:after="260" w:line="240" w:lineRule="auto"/>
        <w:ind w:left="0" w:right="0" w:firstLine="0"/>
        <w:jc w:val="center"/>
      </w:pPr>
      <w:r>
        <w:rPr>
          <w:color w:val="000000"/>
          <w:spacing w:val="0"/>
          <w:w w:val="100"/>
          <w:position w:val="0"/>
          <w:sz w:val="24"/>
          <w:szCs w:val="24"/>
          <w:shd w:val="clear" w:color="auto" w:fill="auto"/>
          <w:lang w:val="ru-RU" w:eastAsia="ru-RU" w:bidi="ru-RU"/>
        </w:rPr>
        <w:t>УСТАНОВИЛА:</w:t>
      </w:r>
    </w:p>
    <w:p>
      <w:pPr>
        <w:pStyle w:val="Style2"/>
        <w:keepNext w:val="0"/>
        <w:keepLines w:val="0"/>
        <w:widowControl w:val="0"/>
        <w:shd w:val="clear" w:color="auto" w:fill="auto"/>
        <w:bidi w:val="0"/>
        <w:spacing w:before="0" w:after="260" w:line="240" w:lineRule="auto"/>
        <w:ind w:left="0" w:right="0" w:firstLine="720"/>
        <w:jc w:val="both"/>
      </w:pPr>
      <w:r>
        <w:rPr>
          <w:color w:val="00000A"/>
          <w:spacing w:val="0"/>
          <w:w w:val="100"/>
          <w:position w:val="0"/>
          <w:sz w:val="24"/>
          <w:szCs w:val="24"/>
          <w:shd w:val="clear" w:color="auto" w:fill="auto"/>
          <w:lang w:val="ru-RU" w:eastAsia="ru-RU" w:bidi="ru-RU"/>
        </w:rPr>
        <w:t xml:space="preserve">В </w:t>
      </w:r>
      <w:r>
        <w:rPr>
          <w:color w:val="000000"/>
          <w:spacing w:val="0"/>
          <w:w w:val="100"/>
          <w:position w:val="0"/>
          <w:sz w:val="24"/>
          <w:szCs w:val="24"/>
          <w:shd w:val="clear" w:color="auto" w:fill="auto"/>
          <w:lang w:val="ru-RU" w:eastAsia="ru-RU" w:bidi="ru-RU"/>
        </w:rPr>
        <w:t xml:space="preserve">Министерство финансов Республики Саха (Якутия) </w:t>
      </w:r>
      <w:r>
        <w:rPr>
          <w:color w:val="00000A"/>
          <w:spacing w:val="0"/>
          <w:w w:val="100"/>
          <w:position w:val="0"/>
          <w:sz w:val="24"/>
          <w:szCs w:val="24"/>
          <w:shd w:val="clear" w:color="auto" w:fill="auto"/>
          <w:lang w:val="ru-RU" w:eastAsia="ru-RU" w:bidi="ru-RU"/>
        </w:rPr>
        <w:t xml:space="preserve">поступила жалоба ООО «КоннекТ» </w:t>
      </w:r>
      <w:r>
        <w:rPr>
          <w:color w:val="000000"/>
          <w:spacing w:val="0"/>
          <w:w w:val="100"/>
          <w:position w:val="0"/>
          <w:sz w:val="24"/>
          <w:szCs w:val="24"/>
          <w:shd w:val="clear" w:color="auto" w:fill="auto"/>
          <w:lang w:val="ru-RU" w:eastAsia="ru-RU" w:bidi="ru-RU"/>
        </w:rPr>
        <w:t xml:space="preserve">от 27.12.2023 № </w:t>
      </w:r>
      <w:r>
        <w:rPr>
          <w:color w:val="181818"/>
          <w:spacing w:val="0"/>
          <w:w w:val="100"/>
          <w:position w:val="0"/>
          <w:sz w:val="24"/>
          <w:szCs w:val="24"/>
          <w:shd w:val="clear" w:color="auto" w:fill="auto"/>
          <w:lang w:val="ru-RU" w:eastAsia="ru-RU" w:bidi="ru-RU"/>
        </w:rPr>
        <w:t xml:space="preserve">202398200001000529 </w:t>
      </w:r>
      <w:r>
        <w:rPr>
          <w:color w:val="000000"/>
          <w:spacing w:val="0"/>
          <w:w w:val="100"/>
          <w:position w:val="0"/>
          <w:sz w:val="24"/>
          <w:szCs w:val="24"/>
          <w:shd w:val="clear" w:color="auto" w:fill="auto"/>
          <w:lang w:val="ru-RU" w:eastAsia="ru-RU" w:bidi="ru-RU"/>
        </w:rPr>
        <w:t xml:space="preserve">на действия (бездействие) комиссии по осуществлению закупок ГКУ РС(Я) «Центр закупок РС(Я)» (извещение № </w:t>
      </w:r>
      <w:r>
        <w:fldChar w:fldCharType="begin"/>
      </w:r>
      <w:r>
        <w:rPr/>
        <w:instrText> HYPERLINK "https://zakupki.gov.ru/epz/order/notice/view/common-info.html?regNumber=0816500000623023418" </w:instrText>
      </w:r>
      <w:r>
        <w:fldChar w:fldCharType="separate"/>
      </w:r>
      <w:r>
        <w:rPr>
          <w:color w:val="000000"/>
          <w:spacing w:val="0"/>
          <w:w w:val="100"/>
          <w:position w:val="0"/>
          <w:sz w:val="26"/>
          <w:szCs w:val="26"/>
          <w:shd w:val="clear" w:color="auto" w:fill="auto"/>
          <w:lang w:val="ru-RU" w:eastAsia="ru-RU" w:bidi="ru-RU"/>
        </w:rPr>
        <w:t>0816500000623023418</w:t>
      </w:r>
      <w:r>
        <w:rPr>
          <w:color w:val="000000"/>
          <w:spacing w:val="0"/>
          <w:w w:val="100"/>
          <w:position w:val="0"/>
          <w:sz w:val="24"/>
          <w:szCs w:val="24"/>
          <w:shd w:val="clear" w:color="auto" w:fill="auto"/>
          <w:lang w:val="ru-RU" w:eastAsia="ru-RU" w:bidi="ru-RU"/>
        </w:rPr>
        <w:t>)</w:t>
      </w:r>
      <w:r>
        <w:fldChar w:fldCharType="end"/>
      </w:r>
      <w:r>
        <w:rPr>
          <w:color w:val="00000A"/>
          <w:spacing w:val="0"/>
          <w:w w:val="100"/>
          <w:position w:val="0"/>
          <w:sz w:val="24"/>
          <w:szCs w:val="24"/>
          <w:shd w:val="clear" w:color="auto" w:fill="auto"/>
          <w:lang w:val="ru-RU" w:eastAsia="ru-RU" w:bidi="ru-RU"/>
        </w:rPr>
        <w:t>.</w:t>
      </w:r>
    </w:p>
    <w:p>
      <w:pPr>
        <w:pStyle w:val="Style2"/>
        <w:keepNext w:val="0"/>
        <w:keepLines w:val="0"/>
        <w:widowControl w:val="0"/>
        <w:shd w:val="clear" w:color="auto" w:fill="auto"/>
        <w:bidi w:val="0"/>
        <w:spacing w:before="0" w:after="260" w:line="240" w:lineRule="auto"/>
        <w:ind w:left="0" w:right="0" w:firstLine="760"/>
        <w:jc w:val="both"/>
        <w:rPr>
          <w:sz w:val="22"/>
          <w:szCs w:val="22"/>
        </w:rPr>
      </w:pPr>
      <w:r>
        <w:rPr>
          <w:color w:val="00000A"/>
          <w:spacing w:val="0"/>
          <w:w w:val="100"/>
          <w:position w:val="0"/>
          <w:sz w:val="24"/>
          <w:szCs w:val="24"/>
          <w:shd w:val="clear" w:color="auto" w:fill="auto"/>
          <w:lang w:val="ru-RU" w:eastAsia="ru-RU" w:bidi="ru-RU"/>
        </w:rPr>
        <w:t xml:space="preserve">Из сути жалобы следует, что </w:t>
      </w:r>
      <w:r>
        <w:rPr>
          <w:color w:val="000000"/>
          <w:spacing w:val="0"/>
          <w:w w:val="100"/>
          <w:position w:val="0"/>
          <w:sz w:val="22"/>
          <w:szCs w:val="22"/>
          <w:shd w:val="clear" w:color="auto" w:fill="auto"/>
          <w:lang w:val="ru-RU" w:eastAsia="ru-RU" w:bidi="ru-RU"/>
        </w:rPr>
        <w:t>заявке с самым высоким ценовым предложением присвоен порядковый номер 1 и данная же заявка признана победителем запроса котировок в электронной форме.</w:t>
      </w:r>
    </w:p>
    <w:p>
      <w:pPr>
        <w:pStyle w:val="Style2"/>
        <w:keepNext w:val="0"/>
        <w:keepLines w:val="0"/>
        <w:widowControl w:val="0"/>
        <w:shd w:val="clear" w:color="auto" w:fill="auto"/>
        <w:bidi w:val="0"/>
        <w:spacing w:before="0" w:after="820" w:line="240" w:lineRule="auto"/>
        <w:ind w:left="0" w:right="0" w:firstLine="760"/>
        <w:jc w:val="both"/>
      </w:pPr>
      <w:r>
        <w:rPr>
          <w:color w:val="00000A"/>
          <w:spacing w:val="0"/>
          <w:w w:val="100"/>
          <w:position w:val="0"/>
          <w:sz w:val="24"/>
          <w:szCs w:val="24"/>
          <w:shd w:val="clear" w:color="auto" w:fill="auto"/>
          <w:lang w:val="ru-RU" w:eastAsia="ru-RU" w:bidi="ru-RU"/>
        </w:rPr>
        <w:t>Из пояснения ГКУ РС(Я) «Центр закупок РС(Я)» следует, что с жалобой не согласны. Просят признать жалобу необоснованной.</w:t>
      </w:r>
    </w:p>
    <w:p>
      <w:pPr>
        <w:pStyle w:val="Style2"/>
        <w:keepNext w:val="0"/>
        <w:keepLines w:val="0"/>
        <w:widowControl w:val="0"/>
        <w:shd w:val="clear" w:color="auto" w:fill="auto"/>
        <w:bidi w:val="0"/>
        <w:spacing w:before="0" w:after="260" w:line="240" w:lineRule="auto"/>
        <w:ind w:left="0" w:right="0" w:firstLine="760"/>
        <w:jc w:val="both"/>
      </w:pPr>
      <w:r>
        <w:rPr>
          <w:color w:val="00000A"/>
          <w:spacing w:val="0"/>
          <w:w w:val="100"/>
          <w:position w:val="0"/>
          <w:sz w:val="24"/>
          <w:szCs w:val="24"/>
          <w:shd w:val="clear" w:color="auto" w:fill="auto"/>
          <w:lang w:val="ru-RU" w:eastAsia="ru-RU" w:bidi="ru-RU"/>
        </w:rPr>
        <w:t>Комиссия Министерства, изучив имеющиеся в деле документы, установила следующее:</w:t>
      </w:r>
    </w:p>
    <w:p>
      <w:pPr>
        <w:pStyle w:val="Style2"/>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15.12.2023 в единой информационной системе в сфере закупок размещено извещение №0816500000623023418 о проведении запроса котировок в электронной форме на поставку ИБП (источник бесперебойного питания) для оснащения объекта «Больничный комплекс на 22 койки с поликлиникой на 104 посещения в смену в с. Хонуу Момского района».</w:t>
      </w:r>
    </w:p>
    <w:p>
      <w:pPr>
        <w:pStyle w:val="Style2"/>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Начальная (максимальная) цена контракта - 547 187,00 рублей.</w:t>
      </w:r>
    </w:p>
    <w:p>
      <w:pPr>
        <w:pStyle w:val="Style2"/>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На участие в закупке подано 2 заявки, обе заявки признаны соответствующими.</w:t>
      </w:r>
    </w:p>
    <w:p>
      <w:pPr>
        <w:pStyle w:val="Style2"/>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Извещением запроса котировок в электронной форме №0816500000623023418 условия допуска в соответствии с приказом Минфина России от 04.06.2018 № 126н - 20 %.</w:t>
      </w:r>
    </w:p>
    <w:p>
      <w:pPr>
        <w:pStyle w:val="Style2"/>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 соответствии с пунктом 5 части 1 статьи 43 Федерального закона от 05.04.2013 №44- ФЗ «О контрактной системе в сфере закупок товаров, работ, услуг для обеспечения государственных и муниципальных нужд» (далее - Закон №44-ФЗ) для участия в конкурентном способе заявка на участие в закупке, если иное не предусмотрено Законом о контрактной системе, должна содержать информацию и документы, предусмотренные нормативными правовыми актами, принятыми в соответствии с частью 3 и частью 4 статьи 14 Закона №44-ФЗ (в случае, если в извещении об осуществлении закупки, документации о закупке (если Законом №44-ФЗ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2"/>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Аналогичное требование установлено в пп. 5 п. 1.2.1 приложения № 3 к извещению:</w:t>
      </w:r>
    </w:p>
    <w:p>
      <w:pPr>
        <w:pStyle w:val="Style2"/>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z w:val="24"/>
          <w:szCs w:val="24"/>
          <w:shd w:val="clear" w:color="auto" w:fill="auto"/>
          <w:lang w:val="ru-RU" w:eastAsia="ru-RU" w:bidi="ru-RU"/>
        </w:rPr>
        <w:t>«1.2.1. Для участия в конкурентном способе заявка на участие в закупке в части информации и документов об участнике закупки должна содержать:</w:t>
      </w:r>
    </w:p>
    <w:p>
      <w:pPr>
        <w:pStyle w:val="Style2"/>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z w:val="24"/>
          <w:szCs w:val="24"/>
          <w:shd w:val="clear" w:color="auto" w:fill="auto"/>
          <w:lang w:val="ru-RU" w:eastAsia="ru-RU" w:bidi="ru-RU"/>
        </w:rPr>
        <w:t>5) информация и документы, предусмотренные нормативными правовыми актами, принятыми в соответствии с частями 3 и 4 статьи 14 Закона №44-ФЗ (в случае, если в извещении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2"/>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 соответствии с частью 4 статьи 14 Закона №44-ФЗ принят приказ Минфина России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 126н).</w:t>
      </w:r>
    </w:p>
    <w:p>
      <w:pPr>
        <w:pStyle w:val="Style2"/>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 xml:space="preserve">В соответствии с п. 1.2 приказа № 126н при проведении конкурса, </w:t>
      </w:r>
      <w:r>
        <w:rPr>
          <w:b/>
          <w:bCs/>
          <w:color w:val="000000"/>
          <w:spacing w:val="0"/>
          <w:w w:val="100"/>
          <w:position w:val="0"/>
          <w:sz w:val="24"/>
          <w:szCs w:val="24"/>
          <w:shd w:val="clear" w:color="auto" w:fill="auto"/>
          <w:lang w:val="ru-RU" w:eastAsia="ru-RU" w:bidi="ru-RU"/>
        </w:rPr>
        <w:t xml:space="preserve">запроса котировок </w:t>
      </w:r>
      <w:r>
        <w:rPr>
          <w:color w:val="000000"/>
          <w:spacing w:val="0"/>
          <w:w w:val="100"/>
          <w:position w:val="0"/>
          <w:sz w:val="24"/>
          <w:szCs w:val="24"/>
          <w:shd w:val="clear" w:color="auto" w:fill="auto"/>
          <w:lang w:val="ru-RU" w:eastAsia="ru-RU" w:bidi="ru-RU"/>
        </w:rPr>
        <w:t xml:space="preserve">в электронной форме рассмотрение и оценка заявок, содержащих предложения о поставке товаров, указанных в приложениях, и происходящих исключительно из государств - членов Евразийского экономического союза, осуществляются комиссиями заказчиков по осуществлению закупок и операторами электронных площадок с применением к </w:t>
      </w:r>
      <w:r>
        <w:rPr>
          <w:color w:val="000000"/>
          <w:spacing w:val="0"/>
          <w:w w:val="100"/>
          <w:position w:val="0"/>
          <w:sz w:val="24"/>
          <w:szCs w:val="24"/>
          <w:shd w:val="clear" w:color="auto" w:fill="auto"/>
          <w:lang w:val="ru-RU" w:eastAsia="ru-RU" w:bidi="ru-RU"/>
        </w:rPr>
        <w:t xml:space="preserve">предложенной в указанных заявках цене контракта понижающего 15-процентного коэффициента в отношении товаров, указанных в приложении ^ 1, </w:t>
      </w:r>
      <w:r>
        <w:rPr>
          <w:b/>
          <w:bCs/>
          <w:color w:val="000000"/>
          <w:spacing w:val="0"/>
          <w:w w:val="100"/>
          <w:position w:val="0"/>
          <w:sz w:val="24"/>
          <w:szCs w:val="24"/>
          <w:shd w:val="clear" w:color="auto" w:fill="auto"/>
          <w:lang w:val="ru-RU" w:eastAsia="ru-RU" w:bidi="ru-RU"/>
        </w:rPr>
        <w:t>понижающего 20</w:t>
        <w:softHyphen/>
        <w:t>процентного коэффициента в отношении товаров, указанных в приложении \ 2 и закупаемых при реализации национальных проектов (программ)</w:t>
      </w:r>
      <w:r>
        <w:rPr>
          <w:color w:val="000000"/>
          <w:spacing w:val="0"/>
          <w:w w:val="100"/>
          <w:position w:val="0"/>
          <w:sz w:val="24"/>
          <w:szCs w:val="24"/>
          <w:shd w:val="clear" w:color="auto" w:fill="auto"/>
          <w:lang w:val="ru-RU" w:eastAsia="ru-RU" w:bidi="ru-RU"/>
        </w:rPr>
        <w:t>. Контракт заключается по цене, предложенной в заявке победителем конкурса, запроса котировок в электронной форме.</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Согласно пункту 1.6 приказа №126н подтверждением страны происхождения товаров, указанных в приложениях, является </w:t>
      </w:r>
      <w:r>
        <w:rPr>
          <w:b/>
          <w:bCs/>
          <w:color w:val="000000"/>
          <w:spacing w:val="0"/>
          <w:w w:val="100"/>
          <w:position w:val="0"/>
          <w:sz w:val="24"/>
          <w:szCs w:val="24"/>
          <w:shd w:val="clear" w:color="auto" w:fill="auto"/>
          <w:lang w:val="ru-RU" w:eastAsia="ru-RU" w:bidi="ru-RU"/>
        </w:rPr>
        <w:t xml:space="preserve">указание (декларирование) участником закупки в </w:t>
      </w:r>
      <w:r>
        <w:rPr>
          <w:b/>
          <w:bCs/>
          <w:color w:val="000000"/>
          <w:spacing w:val="0"/>
          <w:w w:val="100"/>
          <w:position w:val="0"/>
          <w:sz w:val="24"/>
          <w:szCs w:val="24"/>
          <w:u w:val="single"/>
          <w:shd w:val="clear" w:color="auto" w:fill="auto"/>
          <w:lang w:val="ru-RU" w:eastAsia="ru-RU" w:bidi="ru-RU"/>
        </w:rPr>
        <w:t>заявке</w:t>
      </w:r>
      <w:r>
        <w:rPr>
          <w:b/>
          <w:bCs/>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ru-RU" w:eastAsia="ru-RU" w:bidi="ru-RU"/>
        </w:rPr>
        <w:t xml:space="preserve">в соответствии с Законом о контрактной системе </w:t>
      </w:r>
      <w:r>
        <w:rPr>
          <w:b/>
          <w:bCs/>
          <w:color w:val="000000"/>
          <w:spacing w:val="0"/>
          <w:w w:val="100"/>
          <w:position w:val="0"/>
          <w:sz w:val="24"/>
          <w:szCs w:val="24"/>
          <w:shd w:val="clear" w:color="auto" w:fill="auto"/>
          <w:lang w:val="ru-RU" w:eastAsia="ru-RU" w:bidi="ru-RU"/>
        </w:rPr>
        <w:t>наименования страны происхождения товара.</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Участником закупки, занявшим первое место ООО «Комплексные решения», в заявке продекларирована страна происхождения предлагаемых им товаров - Российская Федерация. При этом, заявка участника, занявшего второе место ООО «КоннекТ», содержит предложение о поставке товаров, происходящих из иностранного государства или группы иностранных государств.</w:t>
      </w:r>
    </w:p>
    <w:p>
      <w:pPr>
        <w:pStyle w:val="Style2"/>
        <w:keepNext w:val="0"/>
        <w:keepLines w:val="0"/>
        <w:widowControl w:val="0"/>
        <w:shd w:val="clear" w:color="auto" w:fill="auto"/>
        <w:bidi w:val="0"/>
        <w:spacing w:before="0" w:after="40" w:line="240" w:lineRule="auto"/>
        <w:ind w:left="0" w:right="0" w:firstLine="720"/>
        <w:jc w:val="both"/>
      </w:pPr>
      <w:r>
        <w:rPr>
          <w:color w:val="000000"/>
          <w:spacing w:val="0"/>
          <w:w w:val="100"/>
          <w:position w:val="0"/>
          <w:sz w:val="24"/>
          <w:szCs w:val="24"/>
          <w:shd w:val="clear" w:color="auto" w:fill="auto"/>
          <w:lang w:val="ru-RU" w:eastAsia="ru-RU" w:bidi="ru-RU"/>
        </w:rPr>
        <w:t>Заявка ООО «Комплексные решения» выглядит следующим образом:</w:t>
      </w:r>
    </w:p>
    <w:tbl>
      <w:tblPr>
        <w:tblOverlap w:val="never"/>
        <w:jc w:val="center"/>
        <w:tblLayout w:type="fixed"/>
      </w:tblPr>
      <w:tblGrid>
        <w:gridCol w:w="2966"/>
        <w:gridCol w:w="2381"/>
        <w:gridCol w:w="2366"/>
        <w:gridCol w:w="1853"/>
      </w:tblGrid>
      <w:tr>
        <w:trPr>
          <w:trHeight w:val="432" w:hRule="exact"/>
        </w:trPr>
        <w:tc>
          <w:tcPr>
            <w:gridSpan w:val="4"/>
            <w:tcBorders>
              <w:top w:val="single" w:sz="4"/>
              <w:left w:val="single" w:sz="4"/>
              <w:right w:val="single" w:sz="4"/>
            </w:tcBorders>
            <w:shd w:val="clear" w:color="auto" w:fill="D3D3D3"/>
            <w:vAlign w:val="center"/>
          </w:tcPr>
          <w:p>
            <w:pPr>
              <w:pStyle w:val="Style18"/>
              <w:keepNext w:val="0"/>
              <w:keepLines w:val="0"/>
              <w:widowControl w:val="0"/>
              <w:shd w:val="clear" w:color="auto" w:fill="auto"/>
              <w:bidi w:val="0"/>
              <w:spacing w:before="0" w:after="0" w:line="240" w:lineRule="auto"/>
              <w:ind w:left="0" w:right="0" w:firstLine="0"/>
              <w:jc w:val="center"/>
              <w:rPr>
                <w:sz w:val="12"/>
                <w:szCs w:val="12"/>
              </w:rPr>
            </w:pPr>
            <w:r>
              <w:rPr>
                <w:rFonts w:ascii="Arial" w:eastAsia="Arial" w:hAnsi="Arial" w:cs="Arial"/>
                <w:b/>
                <w:bCs/>
                <w:color w:val="000000"/>
                <w:spacing w:val="0"/>
                <w:w w:val="100"/>
                <w:position w:val="0"/>
                <w:sz w:val="12"/>
                <w:szCs w:val="12"/>
                <w:shd w:val="clear" w:color="auto" w:fill="auto"/>
                <w:lang w:val="ru-RU" w:eastAsia="ru-RU" w:bidi="ru-RU"/>
              </w:rPr>
              <w:t xml:space="preserve">1 </w:t>
            </w:r>
            <w:r>
              <w:rPr>
                <w:rFonts w:ascii="Arial" w:eastAsia="Arial" w:hAnsi="Arial" w:cs="Arial"/>
                <w:b/>
                <w:bCs/>
                <w:color w:val="181818"/>
                <w:spacing w:val="0"/>
                <w:w w:val="100"/>
                <w:position w:val="0"/>
                <w:sz w:val="12"/>
                <w:szCs w:val="12"/>
                <w:shd w:val="clear" w:color="auto" w:fill="auto"/>
                <w:lang w:val="ru-RU" w:eastAsia="ru-RU" w:bidi="ru-RU"/>
              </w:rPr>
              <w:t>Источник бесперебойного питания, 26.20.40.110-00000001, 26.20.40.111</w:t>
            </w:r>
          </w:p>
        </w:tc>
      </w:tr>
      <w:tr>
        <w:trPr>
          <w:trHeight w:val="355" w:hRule="exact"/>
        </w:trPr>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12"/>
                <w:szCs w:val="12"/>
              </w:rPr>
            </w:pPr>
            <w:r>
              <w:rPr>
                <w:rFonts w:ascii="Arial" w:eastAsia="Arial" w:hAnsi="Arial" w:cs="Arial"/>
                <w:b/>
                <w:bCs/>
                <w:color w:val="181818"/>
                <w:spacing w:val="0"/>
                <w:w w:val="100"/>
                <w:position w:val="0"/>
                <w:sz w:val="12"/>
                <w:szCs w:val="12"/>
                <w:shd w:val="clear" w:color="auto" w:fill="auto"/>
                <w:lang w:val="ru-RU" w:eastAsia="ru-RU" w:bidi="ru-RU"/>
              </w:rPr>
              <w:t>Количество</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12"/>
                <w:szCs w:val="12"/>
              </w:rPr>
            </w:pPr>
            <w:r>
              <w:rPr>
                <w:rFonts w:ascii="Arial" w:eastAsia="Arial" w:hAnsi="Arial" w:cs="Arial"/>
                <w:b/>
                <w:bCs/>
                <w:color w:val="181818"/>
                <w:spacing w:val="0"/>
                <w:w w:val="100"/>
                <w:position w:val="0"/>
                <w:sz w:val="12"/>
                <w:szCs w:val="12"/>
                <w:shd w:val="clear" w:color="auto" w:fill="auto"/>
                <w:lang w:val="ru-RU" w:eastAsia="ru-RU" w:bidi="ru-RU"/>
              </w:rPr>
              <w:t>Товарный знак в извещении</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12"/>
                <w:szCs w:val="12"/>
              </w:rPr>
            </w:pPr>
            <w:r>
              <w:rPr>
                <w:rFonts w:ascii="Arial" w:eastAsia="Arial" w:hAnsi="Arial" w:cs="Arial"/>
                <w:b/>
                <w:bCs/>
                <w:color w:val="181818"/>
                <w:spacing w:val="0"/>
                <w:w w:val="100"/>
                <w:position w:val="0"/>
                <w:sz w:val="12"/>
                <w:szCs w:val="12"/>
                <w:shd w:val="clear" w:color="auto" w:fill="auto"/>
                <w:lang w:val="ru-RU" w:eastAsia="ru-RU" w:bidi="ru-RU"/>
              </w:rPr>
              <w:t>Товарный знак в заявке участника</w:t>
            </w:r>
          </w:p>
        </w:tc>
        <w:tc>
          <w:tcPr>
            <w:tcBorders>
              <w:top w:val="single" w:sz="4"/>
              <w:left w:val="single" w:sz="4"/>
              <w:righ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center"/>
              <w:rPr>
                <w:sz w:val="12"/>
                <w:szCs w:val="12"/>
              </w:rPr>
            </w:pPr>
            <w:r>
              <w:rPr>
                <w:rFonts w:ascii="Arial" w:eastAsia="Arial" w:hAnsi="Arial" w:cs="Arial"/>
                <w:b/>
                <w:bCs/>
                <w:color w:val="181818"/>
                <w:spacing w:val="0"/>
                <w:w w:val="100"/>
                <w:position w:val="0"/>
                <w:sz w:val="12"/>
                <w:szCs w:val="12"/>
                <w:shd w:val="clear" w:color="auto" w:fill="auto"/>
                <w:lang w:val="ru-RU" w:eastAsia="ru-RU" w:bidi="ru-RU"/>
              </w:rPr>
              <w:t>Страна происхождения товара</w:t>
            </w:r>
          </w:p>
        </w:tc>
      </w:tr>
      <w:tr>
        <w:trPr>
          <w:trHeight w:val="264" w:hRule="exact"/>
        </w:trPr>
        <w:tc>
          <w:tcPr>
            <w:tcBorders>
              <w:top w:val="single" w:sz="4"/>
              <w:left w:val="single" w:sz="4"/>
              <w:bottom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484848"/>
                <w:spacing w:val="0"/>
                <w:w w:val="100"/>
                <w:position w:val="0"/>
                <w:sz w:val="12"/>
                <w:szCs w:val="12"/>
                <w:shd w:val="clear" w:color="auto" w:fill="auto"/>
                <w:lang w:val="ru-RU" w:eastAsia="ru-RU" w:bidi="ru-RU"/>
              </w:rPr>
              <w:t>1,00 шт</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center"/>
              <w:rPr>
                <w:sz w:val="12"/>
                <w:szCs w:val="12"/>
              </w:rPr>
            </w:pPr>
            <w:r>
              <w:rPr>
                <w:rFonts w:ascii="Arial" w:eastAsia="Arial" w:hAnsi="Arial" w:cs="Arial"/>
                <w:color w:val="484848"/>
                <w:spacing w:val="0"/>
                <w:w w:val="100"/>
                <w:position w:val="0"/>
                <w:sz w:val="12"/>
                <w:szCs w:val="12"/>
                <w:shd w:val="clear" w:color="auto" w:fill="auto"/>
                <w:lang w:val="ru-RU" w:eastAsia="ru-RU" w:bidi="ru-RU"/>
              </w:rPr>
              <w:t>ЕЫТЕЬ</w:t>
            </w:r>
          </w:p>
        </w:tc>
        <w:tc>
          <w:tcPr>
            <w:tcBorders>
              <w:top w:val="single" w:sz="4"/>
              <w:left w:val="single" w:sz="4"/>
              <w:bottom w:val="single" w:sz="4"/>
              <w:right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center"/>
              <w:rPr>
                <w:sz w:val="12"/>
                <w:szCs w:val="12"/>
              </w:rPr>
            </w:pPr>
            <w:r>
              <w:rPr>
                <w:rFonts w:ascii="Arial" w:eastAsia="Arial" w:hAnsi="Arial" w:cs="Arial"/>
                <w:b/>
                <w:bCs/>
                <w:color w:val="484848"/>
                <w:spacing w:val="0"/>
                <w:w w:val="100"/>
                <w:position w:val="0"/>
                <w:sz w:val="12"/>
                <w:szCs w:val="12"/>
                <w:shd w:val="clear" w:color="auto" w:fill="auto"/>
                <w:lang w:val="ru-RU" w:eastAsia="ru-RU" w:bidi="ru-RU"/>
              </w:rPr>
              <w:t>Российская Федерация</w:t>
            </w:r>
          </w:p>
        </w:tc>
      </w:tr>
    </w:tbl>
    <w:p>
      <w:pPr>
        <w:pStyle w:val="Style16"/>
        <w:keepNext w:val="0"/>
        <w:keepLines w:val="0"/>
        <w:widowControl w:val="0"/>
        <w:shd w:val="clear" w:color="auto" w:fill="auto"/>
        <w:bidi w:val="0"/>
        <w:spacing w:before="0" w:after="0" w:line="240" w:lineRule="auto"/>
        <w:ind w:left="619" w:right="0" w:firstLine="0"/>
        <w:jc w:val="left"/>
      </w:pPr>
      <w:r>
        <w:rPr>
          <w:color w:val="000000"/>
          <w:spacing w:val="0"/>
          <w:w w:val="100"/>
          <w:position w:val="0"/>
          <w:sz w:val="24"/>
          <w:szCs w:val="24"/>
          <w:shd w:val="clear" w:color="auto" w:fill="auto"/>
          <w:lang w:val="ru-RU" w:eastAsia="ru-RU" w:bidi="ru-RU"/>
        </w:rPr>
        <w:t>Заявка ООО «КоннекТ»:</w:t>
      </w:r>
    </w:p>
    <w:p>
      <w:pPr>
        <w:widowControl w:val="0"/>
        <w:spacing w:after="39" w:line="1" w:lineRule="exact"/>
      </w:pPr>
    </w:p>
    <w:tbl>
      <w:tblPr>
        <w:tblOverlap w:val="never"/>
        <w:jc w:val="center"/>
        <w:tblLayout w:type="fixed"/>
      </w:tblPr>
      <w:tblGrid>
        <w:gridCol w:w="2938"/>
        <w:gridCol w:w="2357"/>
        <w:gridCol w:w="2342"/>
        <w:gridCol w:w="1838"/>
      </w:tblGrid>
      <w:tr>
        <w:trPr>
          <w:trHeight w:val="427" w:hRule="exact"/>
        </w:trPr>
        <w:tc>
          <w:tcPr>
            <w:gridSpan w:val="4"/>
            <w:tcBorders>
              <w:top w:val="single" w:sz="4"/>
              <w:left w:val="single" w:sz="4"/>
              <w:right w:val="single" w:sz="4"/>
            </w:tcBorders>
            <w:shd w:val="clear" w:color="auto" w:fill="D3D3D3"/>
            <w:vAlign w:val="center"/>
          </w:tcPr>
          <w:p>
            <w:pPr>
              <w:pStyle w:val="Style18"/>
              <w:keepNext w:val="0"/>
              <w:keepLines w:val="0"/>
              <w:widowControl w:val="0"/>
              <w:shd w:val="clear" w:color="auto" w:fill="auto"/>
              <w:bidi w:val="0"/>
              <w:spacing w:before="0" w:after="0" w:line="240" w:lineRule="auto"/>
              <w:ind w:left="0" w:right="0" w:firstLine="0"/>
              <w:jc w:val="center"/>
              <w:rPr>
                <w:sz w:val="12"/>
                <w:szCs w:val="12"/>
              </w:rPr>
            </w:pPr>
            <w:r>
              <w:rPr>
                <w:rFonts w:ascii="Arial" w:eastAsia="Arial" w:hAnsi="Arial" w:cs="Arial"/>
                <w:b/>
                <w:bCs/>
                <w:color w:val="000000"/>
                <w:spacing w:val="0"/>
                <w:w w:val="100"/>
                <w:position w:val="0"/>
                <w:sz w:val="12"/>
                <w:szCs w:val="12"/>
                <w:shd w:val="clear" w:color="auto" w:fill="auto"/>
                <w:lang w:val="ru-RU" w:eastAsia="ru-RU" w:bidi="ru-RU"/>
              </w:rPr>
              <w:t xml:space="preserve">1 </w:t>
            </w:r>
            <w:r>
              <w:rPr>
                <w:rFonts w:ascii="Arial" w:eastAsia="Arial" w:hAnsi="Arial" w:cs="Arial"/>
                <w:b/>
                <w:bCs/>
                <w:color w:val="181818"/>
                <w:spacing w:val="0"/>
                <w:w w:val="100"/>
                <w:position w:val="0"/>
                <w:sz w:val="12"/>
                <w:szCs w:val="12"/>
                <w:shd w:val="clear" w:color="auto" w:fill="auto"/>
                <w:lang w:val="ru-RU" w:eastAsia="ru-RU" w:bidi="ru-RU"/>
              </w:rPr>
              <w:t>Источник бесперебойного питания, 26.20.40.110-00000001, 26.20.40.111</w:t>
            </w:r>
          </w:p>
        </w:tc>
      </w:tr>
      <w:tr>
        <w:trPr>
          <w:trHeight w:val="350" w:hRule="exact"/>
        </w:trPr>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12"/>
                <w:szCs w:val="12"/>
              </w:rPr>
            </w:pPr>
            <w:r>
              <w:rPr>
                <w:rFonts w:ascii="Arial" w:eastAsia="Arial" w:hAnsi="Arial" w:cs="Arial"/>
                <w:b/>
                <w:bCs/>
                <w:color w:val="000000"/>
                <w:spacing w:val="0"/>
                <w:w w:val="100"/>
                <w:position w:val="0"/>
                <w:sz w:val="12"/>
                <w:szCs w:val="12"/>
                <w:shd w:val="clear" w:color="auto" w:fill="auto"/>
                <w:lang w:val="ru-RU" w:eastAsia="ru-RU" w:bidi="ru-RU"/>
              </w:rPr>
              <w:t>Количество</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12"/>
                <w:szCs w:val="12"/>
              </w:rPr>
            </w:pPr>
            <w:r>
              <w:rPr>
                <w:rFonts w:ascii="Arial" w:eastAsia="Arial" w:hAnsi="Arial" w:cs="Arial"/>
                <w:b/>
                <w:bCs/>
                <w:color w:val="181818"/>
                <w:spacing w:val="0"/>
                <w:w w:val="100"/>
                <w:position w:val="0"/>
                <w:sz w:val="12"/>
                <w:szCs w:val="12"/>
                <w:shd w:val="clear" w:color="auto" w:fill="auto"/>
                <w:lang w:val="ru-RU" w:eastAsia="ru-RU" w:bidi="ru-RU"/>
              </w:rPr>
              <w:t>Товарный знак в извещении</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12"/>
                <w:szCs w:val="12"/>
              </w:rPr>
            </w:pPr>
            <w:r>
              <w:rPr>
                <w:rFonts w:ascii="Arial" w:eastAsia="Arial" w:hAnsi="Arial" w:cs="Arial"/>
                <w:b/>
                <w:bCs/>
                <w:color w:val="181818"/>
                <w:spacing w:val="0"/>
                <w:w w:val="100"/>
                <w:position w:val="0"/>
                <w:sz w:val="12"/>
                <w:szCs w:val="12"/>
                <w:shd w:val="clear" w:color="auto" w:fill="auto"/>
                <w:lang w:val="ru-RU" w:eastAsia="ru-RU" w:bidi="ru-RU"/>
              </w:rPr>
              <w:t>Товарный знак в заявке участника</w:t>
            </w:r>
          </w:p>
        </w:tc>
        <w:tc>
          <w:tcPr>
            <w:tcBorders>
              <w:top w:val="single" w:sz="4"/>
              <w:left w:val="single" w:sz="4"/>
              <w:righ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center"/>
              <w:rPr>
                <w:sz w:val="12"/>
                <w:szCs w:val="12"/>
              </w:rPr>
            </w:pPr>
            <w:r>
              <w:rPr>
                <w:rFonts w:ascii="Arial" w:eastAsia="Arial" w:hAnsi="Arial" w:cs="Arial"/>
                <w:b/>
                <w:bCs/>
                <w:color w:val="181818"/>
                <w:spacing w:val="0"/>
                <w:w w:val="100"/>
                <w:position w:val="0"/>
                <w:sz w:val="12"/>
                <w:szCs w:val="12"/>
                <w:shd w:val="clear" w:color="auto" w:fill="auto"/>
                <w:lang w:val="ru-RU" w:eastAsia="ru-RU" w:bidi="ru-RU"/>
              </w:rPr>
              <w:t>Страна происхождения товара</w:t>
            </w:r>
          </w:p>
        </w:tc>
      </w:tr>
      <w:tr>
        <w:trPr>
          <w:trHeight w:val="307" w:hRule="exact"/>
        </w:trPr>
        <w:tc>
          <w:tcPr>
            <w:tcBorders>
              <w:top w:val="single" w:sz="4"/>
              <w:left w:val="single" w:sz="4"/>
              <w:bottom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484848"/>
                <w:spacing w:val="0"/>
                <w:w w:val="100"/>
                <w:position w:val="0"/>
                <w:sz w:val="12"/>
                <w:szCs w:val="12"/>
                <w:shd w:val="clear" w:color="auto" w:fill="auto"/>
                <w:lang w:val="ru-RU" w:eastAsia="ru-RU" w:bidi="ru-RU"/>
              </w:rPr>
              <w:t xml:space="preserve">1,00 </w:t>
            </w:r>
            <w:r>
              <w:rPr>
                <w:rFonts w:ascii="Arial" w:eastAsia="Arial" w:hAnsi="Arial" w:cs="Arial"/>
                <w:b/>
                <w:bCs/>
                <w:color w:val="181818"/>
                <w:spacing w:val="0"/>
                <w:w w:val="100"/>
                <w:position w:val="0"/>
                <w:sz w:val="12"/>
                <w:szCs w:val="12"/>
                <w:shd w:val="clear" w:color="auto" w:fill="auto"/>
                <w:lang w:val="ru-RU" w:eastAsia="ru-RU" w:bidi="ru-RU"/>
              </w:rPr>
              <w:t>шт</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center"/>
              <w:rPr>
                <w:sz w:val="12"/>
                <w:szCs w:val="12"/>
              </w:rPr>
            </w:pPr>
            <w:r>
              <w:rPr>
                <w:rFonts w:ascii="Arial" w:eastAsia="Arial" w:hAnsi="Arial" w:cs="Arial"/>
                <w:color w:val="26282F"/>
                <w:spacing w:val="0"/>
                <w:w w:val="100"/>
                <w:position w:val="0"/>
                <w:sz w:val="12"/>
                <w:szCs w:val="12"/>
                <w:shd w:val="clear" w:color="auto" w:fill="auto"/>
                <w:lang w:val="ru-RU" w:eastAsia="ru-RU" w:bidi="ru-RU"/>
              </w:rPr>
              <w:t xml:space="preserve">Китайская Народная </w:t>
            </w:r>
            <w:r>
              <w:rPr>
                <w:rFonts w:ascii="Arial" w:eastAsia="Arial" w:hAnsi="Arial" w:cs="Arial"/>
                <w:color w:val="484848"/>
                <w:spacing w:val="0"/>
                <w:w w:val="100"/>
                <w:position w:val="0"/>
                <w:sz w:val="12"/>
                <w:szCs w:val="12"/>
                <w:shd w:val="clear" w:color="auto" w:fill="auto"/>
                <w:lang w:val="ru-RU" w:eastAsia="ru-RU" w:bidi="ru-RU"/>
              </w:rPr>
              <w:t>Республика</w:t>
            </w:r>
          </w:p>
        </w:tc>
      </w:tr>
    </w:tbl>
    <w:p>
      <w:pPr>
        <w:widowControl w:val="0"/>
        <w:spacing w:after="259" w:line="1" w:lineRule="exact"/>
      </w:pP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Дополнительно отмечаем, что согласно пп. «б» ч. 3 ст. 50 Закона №44-ФЗ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 на основании решения,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w:t>
      </w:r>
      <w:r>
        <w:rPr>
          <w:b/>
          <w:bCs/>
          <w:color w:val="000000"/>
          <w:spacing w:val="0"/>
          <w:w w:val="100"/>
          <w:position w:val="0"/>
          <w:sz w:val="24"/>
          <w:szCs w:val="24"/>
          <w:shd w:val="clear" w:color="auto" w:fill="auto"/>
          <w:lang w:val="ru-RU" w:eastAsia="ru-RU" w:bidi="ru-RU"/>
        </w:rPr>
        <w:t>порядковый номер в порядке возрастания цены контракта</w:t>
      </w:r>
      <w:r>
        <w:rPr>
          <w:color w:val="000000"/>
          <w:spacing w:val="0"/>
          <w:w w:val="100"/>
          <w:position w:val="0"/>
          <w:sz w:val="24"/>
          <w:szCs w:val="24"/>
          <w:shd w:val="clear" w:color="auto" w:fill="auto"/>
          <w:lang w:val="ru-RU" w:eastAsia="ru-RU" w:bidi="ru-RU"/>
        </w:rPr>
        <w:t xml:space="preserve">, суммы цен единиц товара, работы, услуги (в случае, предусмотренном ч. 24 ст. 22 Закона о контрактной системе), предложенных участником закупки, подавшим такую заявку, </w:t>
      </w:r>
      <w:r>
        <w:rPr>
          <w:b/>
          <w:bCs/>
          <w:color w:val="000000"/>
          <w:spacing w:val="0"/>
          <w:w w:val="100"/>
          <w:position w:val="0"/>
          <w:sz w:val="24"/>
          <w:szCs w:val="24"/>
          <w:u w:val="single"/>
          <w:shd w:val="clear" w:color="auto" w:fill="auto"/>
          <w:lang w:val="ru-RU" w:eastAsia="ru-RU" w:bidi="ru-RU"/>
        </w:rPr>
        <w:t>с учетом положений нормативных правовых актов, принятых в соответствии со ст. 14</w:t>
      </w:r>
      <w:r>
        <w:rPr>
          <w:b/>
          <w:bCs/>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ru-RU" w:eastAsia="ru-RU" w:bidi="ru-RU"/>
        </w:rPr>
        <w:t>Закона о контрактной системе. Заявке на участие в закупке победителя определения поставщика (подрядчика, исполнителя) присваивается первый номер. В случае, если в нескольких заявках на участие в закупке содержатся одинаковые предложения, предусмотренные п. 3 или 4 ч. 1 ст. 43 Закона о контрактной системе, меньший порядковый номер присваивается заявке на участие в закупке, которая поступила ранее других таких заявок.</w:t>
      </w:r>
    </w:p>
    <w:p>
      <w:pPr>
        <w:pStyle w:val="Style2"/>
        <w:keepNext w:val="0"/>
        <w:keepLines w:val="0"/>
        <w:widowControl w:val="0"/>
        <w:shd w:val="clear" w:color="auto" w:fill="auto"/>
        <w:bidi w:val="0"/>
        <w:spacing w:before="0" w:after="260" w:line="240" w:lineRule="auto"/>
        <w:ind w:left="0" w:right="0" w:firstLine="720"/>
        <w:jc w:val="both"/>
      </w:pPr>
      <w:r>
        <w:rPr>
          <w:color w:val="000000"/>
          <w:spacing w:val="0"/>
          <w:w w:val="100"/>
          <w:position w:val="0"/>
          <w:sz w:val="24"/>
          <w:szCs w:val="24"/>
          <w:shd w:val="clear" w:color="auto" w:fill="auto"/>
          <w:lang w:val="ru-RU" w:eastAsia="ru-RU" w:bidi="ru-RU"/>
        </w:rPr>
        <w:t>Таким образом, комиссия по осуществлению закупок правомерно подвела итоги по оспариваемой закупке: при наличии декларации о поставке товара российского происхождения в заявке ООО «Комплексные решения», также порядковый номер был присвоен правомерно с учетом снижения цены согласно приказу Минфина №126н.</w:t>
      </w:r>
    </w:p>
    <w:p>
      <w:pPr>
        <w:pStyle w:val="Style2"/>
        <w:keepNext w:val="0"/>
        <w:keepLines w:val="0"/>
        <w:widowControl w:val="0"/>
        <w:shd w:val="clear" w:color="auto" w:fill="auto"/>
        <w:bidi w:val="0"/>
        <w:spacing w:before="0" w:after="820" w:line="240" w:lineRule="auto"/>
        <w:ind w:left="0" w:right="0" w:firstLine="720"/>
        <w:jc w:val="both"/>
      </w:pPr>
      <w:r>
        <w:rPr>
          <w:color w:val="000000"/>
          <w:spacing w:val="0"/>
          <w:w w:val="100"/>
          <w:position w:val="0"/>
          <w:sz w:val="24"/>
          <w:szCs w:val="24"/>
          <w:shd w:val="clear" w:color="auto" w:fill="auto"/>
          <w:lang w:val="ru-RU" w:eastAsia="ru-RU" w:bidi="ru-RU"/>
        </w:rPr>
        <w:t>На основании вышеизложенного</w:t>
      </w:r>
      <w:r>
        <w:rPr>
          <w:color w:val="00000A"/>
          <w:spacing w:val="0"/>
          <w:w w:val="100"/>
          <w:position w:val="0"/>
          <w:sz w:val="24"/>
          <w:szCs w:val="24"/>
          <w:shd w:val="clear" w:color="auto" w:fill="auto"/>
          <w:lang w:val="ru-RU" w:eastAsia="ru-RU" w:bidi="ru-RU"/>
        </w:rPr>
        <w:t xml:space="preserve">, руководствуясь пунктом 1 части 15 статьи 99, статьей 106 Закона № 44-ФЗ, Правилами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банков, государственной </w:t>
      </w:r>
      <w:r>
        <w:rPr>
          <w:color w:val="00000A"/>
          <w:spacing w:val="0"/>
          <w:w w:val="100"/>
          <w:position w:val="0"/>
          <w:sz w:val="24"/>
          <w:szCs w:val="24"/>
          <w:shd w:val="clear" w:color="auto" w:fill="auto"/>
          <w:lang w:val="ru-RU" w:eastAsia="ru-RU" w:bidi="ru-RU"/>
        </w:rPr>
        <w:t>корпорации развития «ВЭБ.РФ», региональных гарантийных организаций, утвержденным Постановлением Правительства РФ от 01.10.2020 № 1576, Комиссия Министерства финансов Республики Саха (Якутия),</w:t>
      </w:r>
    </w:p>
    <w:p>
      <w:pPr>
        <w:pStyle w:val="Style2"/>
        <w:keepNext w:val="0"/>
        <w:keepLines w:val="0"/>
        <w:widowControl w:val="0"/>
        <w:shd w:val="clear" w:color="auto" w:fill="auto"/>
        <w:bidi w:val="0"/>
        <w:spacing w:before="0" w:after="260" w:line="240" w:lineRule="auto"/>
        <w:ind w:left="0" w:right="0" w:firstLine="0"/>
        <w:jc w:val="center"/>
      </w:pPr>
      <w:r>
        <w:rPr>
          <w:color w:val="000000"/>
          <w:spacing w:val="0"/>
          <w:w w:val="100"/>
          <w:position w:val="0"/>
          <w:sz w:val="24"/>
          <w:szCs w:val="24"/>
          <w:shd w:val="clear" w:color="auto" w:fill="auto"/>
          <w:lang w:val="ru-RU" w:eastAsia="ru-RU" w:bidi="ru-RU"/>
        </w:rPr>
        <w:t>РЕШИЛА:</w:t>
      </w:r>
    </w:p>
    <w:p>
      <w:pPr>
        <w:pStyle w:val="Style2"/>
        <w:keepNext w:val="0"/>
        <w:keepLines w:val="0"/>
        <w:widowControl w:val="0"/>
        <w:shd w:val="clear" w:color="auto" w:fill="auto"/>
        <w:bidi w:val="0"/>
        <w:spacing w:before="0" w:after="820" w:line="240" w:lineRule="auto"/>
        <w:ind w:left="0" w:right="0" w:firstLine="720"/>
        <w:jc w:val="both"/>
      </w:pPr>
      <w:r>
        <w:rPr>
          <w:color w:val="00000A"/>
          <w:spacing w:val="0"/>
          <w:w w:val="100"/>
          <w:position w:val="0"/>
          <w:sz w:val="24"/>
          <w:szCs w:val="24"/>
          <w:shd w:val="clear" w:color="auto" w:fill="auto"/>
          <w:lang w:val="ru-RU" w:eastAsia="ru-RU" w:bidi="ru-RU"/>
        </w:rPr>
        <w:t xml:space="preserve">признать </w:t>
      </w:r>
      <w:r>
        <w:rPr>
          <w:color w:val="000000"/>
          <w:spacing w:val="0"/>
          <w:w w:val="100"/>
          <w:position w:val="0"/>
          <w:sz w:val="24"/>
          <w:szCs w:val="24"/>
          <w:shd w:val="clear" w:color="auto" w:fill="auto"/>
          <w:lang w:val="ru-RU" w:eastAsia="ru-RU" w:bidi="ru-RU"/>
        </w:rPr>
        <w:t xml:space="preserve">жалобу ООО «КоннекТ» от 27.12.2023 № </w:t>
      </w:r>
      <w:r>
        <w:rPr>
          <w:color w:val="181818"/>
          <w:spacing w:val="0"/>
          <w:w w:val="100"/>
          <w:position w:val="0"/>
          <w:sz w:val="24"/>
          <w:szCs w:val="24"/>
          <w:shd w:val="clear" w:color="auto" w:fill="auto"/>
          <w:lang w:val="ru-RU" w:eastAsia="ru-RU" w:bidi="ru-RU"/>
        </w:rPr>
        <w:t xml:space="preserve">202398200001000529 </w:t>
      </w:r>
      <w:r>
        <w:rPr>
          <w:color w:val="000000"/>
          <w:spacing w:val="0"/>
          <w:w w:val="100"/>
          <w:position w:val="0"/>
          <w:sz w:val="24"/>
          <w:szCs w:val="24"/>
          <w:shd w:val="clear" w:color="auto" w:fill="auto"/>
          <w:lang w:val="ru-RU" w:eastAsia="ru-RU" w:bidi="ru-RU"/>
        </w:rPr>
        <w:t>на действия (бездействие) комиссии по осуществлению закупок ГКУ РС(Я) «Центр закупок РС(Я)» при проведении запроса котировок в электронной форме на поставку ИБП (источник бесперебойного питания) для оснащения объекта «Больничный комплекс на 22 койки с поликлиникой на 104 посещения в смену в с. Хонуу Момского района» (извещение № 0816500000623023418) не</w:t>
      </w:r>
      <w:r>
        <w:rPr>
          <w:color w:val="00000A"/>
          <w:spacing w:val="0"/>
          <w:w w:val="100"/>
          <w:position w:val="0"/>
          <w:sz w:val="24"/>
          <w:szCs w:val="24"/>
          <w:shd w:val="clear" w:color="auto" w:fill="auto"/>
          <w:lang w:val="ru-RU" w:eastAsia="ru-RU" w:bidi="ru-RU"/>
        </w:rPr>
        <w:t>обоснованной.</w:t>
      </w:r>
    </w:p>
    <w:p>
      <w:pPr>
        <w:pStyle w:val="Style2"/>
        <w:keepNext w:val="0"/>
        <w:keepLines w:val="0"/>
        <w:widowControl w:val="0"/>
        <w:shd w:val="clear" w:color="auto" w:fill="auto"/>
        <w:bidi w:val="0"/>
        <w:spacing w:before="0" w:after="1140" w:line="240" w:lineRule="auto"/>
        <w:ind w:left="0" w:right="0" w:firstLine="720"/>
        <w:jc w:val="both"/>
      </w:pPr>
      <w:r>
        <w:rPr>
          <w:color w:val="000000"/>
          <w:spacing w:val="0"/>
          <w:w w:val="100"/>
          <w:position w:val="0"/>
          <w:sz w:val="24"/>
          <w:szCs w:val="24"/>
          <w:shd w:val="clear" w:color="auto" w:fill="auto"/>
          <w:lang w:val="ru-RU" w:eastAsia="ru-RU" w:bidi="ru-RU"/>
        </w:rPr>
        <w:t>Настоящее решение может быть обжаловано в судебном порядке в течение трех месяцев с даты принятия.</w:t>
      </w:r>
    </w:p>
    <w:tbl>
      <w:tblPr>
        <w:tblOverlap w:val="never"/>
        <w:jc w:val="right"/>
        <w:tblLayout w:type="fixed"/>
      </w:tblPr>
      <w:tblGrid>
        <w:gridCol w:w="3653"/>
        <w:gridCol w:w="2434"/>
      </w:tblGrid>
      <w:tr>
        <w:trPr>
          <w:trHeight w:val="403" w:hRule="exact"/>
        </w:trPr>
        <w:tc>
          <w:tcPr>
            <w:tcBorders/>
            <w:shd w:val="clear" w:color="auto" w:fill="auto"/>
            <w:vAlign w:val="top"/>
          </w:tcPr>
          <w:p>
            <w:pPr>
              <w:pStyle w:val="Style18"/>
              <w:keepNext w:val="0"/>
              <w:keepLines w:val="0"/>
              <w:widowControl w:val="0"/>
              <w:shd w:val="clear" w:color="auto" w:fill="auto"/>
              <w:tabs>
                <w:tab w:leader="underscore" w:pos="1603" w:val="left"/>
                <w:tab w:leader="underscore" w:pos="2794" w:val="left"/>
              </w:tabs>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ab/>
            </w:r>
            <w:r>
              <w:rPr>
                <w:color w:val="000000"/>
                <w:spacing w:val="0"/>
                <w:w w:val="100"/>
                <w:position w:val="0"/>
                <w:sz w:val="24"/>
                <w:szCs w:val="24"/>
                <w:u w:val="single"/>
                <w:shd w:val="clear" w:color="auto" w:fill="auto"/>
                <w:lang w:val="ru-RU" w:eastAsia="ru-RU" w:bidi="ru-RU"/>
              </w:rPr>
              <w:t>п/п</w:t>
            </w:r>
            <w:r>
              <w:rPr>
                <w:color w:val="000000"/>
                <w:spacing w:val="0"/>
                <w:w w:val="100"/>
                <w:position w:val="0"/>
                <w:sz w:val="24"/>
                <w:szCs w:val="24"/>
                <w:shd w:val="clear" w:color="auto" w:fill="auto"/>
                <w:lang w:val="ru-RU" w:eastAsia="ru-RU" w:bidi="ru-RU"/>
              </w:rPr>
              <w:tab/>
            </w:r>
          </w:p>
        </w:tc>
        <w:tc>
          <w:tcPr>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В.П. Иванова</w:t>
            </w:r>
          </w:p>
        </w:tc>
      </w:tr>
      <w:tr>
        <w:trPr>
          <w:trHeight w:val="576" w:hRule="exact"/>
        </w:trPr>
        <w:tc>
          <w:tcPr>
            <w:tcBorders/>
            <w:shd w:val="clear" w:color="auto" w:fill="auto"/>
            <w:vAlign w:val="center"/>
          </w:tcPr>
          <w:p>
            <w:pPr>
              <w:pStyle w:val="Style18"/>
              <w:keepNext w:val="0"/>
              <w:keepLines w:val="0"/>
              <w:widowControl w:val="0"/>
              <w:shd w:val="clear" w:color="auto" w:fill="auto"/>
              <w:tabs>
                <w:tab w:leader="underscore" w:pos="1603" w:val="left"/>
                <w:tab w:leader="underscore" w:pos="2794" w:val="left"/>
              </w:tabs>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ab/>
            </w:r>
            <w:r>
              <w:rPr>
                <w:color w:val="000000"/>
                <w:spacing w:val="0"/>
                <w:w w:val="100"/>
                <w:position w:val="0"/>
                <w:sz w:val="24"/>
                <w:szCs w:val="24"/>
                <w:u w:val="single"/>
                <w:shd w:val="clear" w:color="auto" w:fill="auto"/>
                <w:lang w:val="ru-RU" w:eastAsia="ru-RU" w:bidi="ru-RU"/>
              </w:rPr>
              <w:t>п/п</w:t>
            </w:r>
            <w:r>
              <w:rPr>
                <w:color w:val="000000"/>
                <w:spacing w:val="0"/>
                <w:w w:val="100"/>
                <w:position w:val="0"/>
                <w:sz w:val="24"/>
                <w:szCs w:val="24"/>
                <w:shd w:val="clear" w:color="auto" w:fill="auto"/>
                <w:lang w:val="ru-RU" w:eastAsia="ru-RU" w:bidi="ru-RU"/>
              </w:rPr>
              <w:tab/>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В.А. Бястинова</w:t>
            </w:r>
          </w:p>
        </w:tc>
      </w:tr>
      <w:tr>
        <w:trPr>
          <w:trHeight w:val="600" w:hRule="exact"/>
        </w:trPr>
        <w:tc>
          <w:tcPr>
            <w:tcBorders/>
            <w:shd w:val="clear" w:color="auto" w:fill="auto"/>
            <w:vAlign w:val="center"/>
          </w:tcPr>
          <w:p>
            <w:pPr>
              <w:pStyle w:val="Style18"/>
              <w:keepNext w:val="0"/>
              <w:keepLines w:val="0"/>
              <w:widowControl w:val="0"/>
              <w:shd w:val="clear" w:color="auto" w:fill="auto"/>
              <w:tabs>
                <w:tab w:leader="underscore" w:pos="1603" w:val="left"/>
                <w:tab w:leader="underscore" w:pos="2794" w:val="left"/>
              </w:tabs>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ab/>
            </w:r>
            <w:r>
              <w:rPr>
                <w:color w:val="000000"/>
                <w:spacing w:val="0"/>
                <w:w w:val="100"/>
                <w:position w:val="0"/>
                <w:sz w:val="24"/>
                <w:szCs w:val="24"/>
                <w:u w:val="single"/>
                <w:shd w:val="clear" w:color="auto" w:fill="auto"/>
                <w:lang w:val="ru-RU" w:eastAsia="ru-RU" w:bidi="ru-RU"/>
              </w:rPr>
              <w:t>п/п</w:t>
            </w:r>
            <w:r>
              <w:rPr>
                <w:color w:val="000000"/>
                <w:spacing w:val="0"/>
                <w:w w:val="100"/>
                <w:position w:val="0"/>
                <w:sz w:val="24"/>
                <w:szCs w:val="24"/>
                <w:shd w:val="clear" w:color="auto" w:fill="auto"/>
                <w:lang w:val="ru-RU" w:eastAsia="ru-RU" w:bidi="ru-RU"/>
              </w:rPr>
              <w:tab/>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М.С. Федоров</w:t>
            </w:r>
          </w:p>
        </w:tc>
      </w:tr>
      <w:tr>
        <w:trPr>
          <w:trHeight w:val="384" w:hRule="exact"/>
        </w:trPr>
        <w:tc>
          <w:tcPr>
            <w:tcBorders>
              <w:bottom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п/п</w:t>
            </w:r>
          </w:p>
        </w:tc>
        <w:tc>
          <w:tcPr>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Р.В. Иванов</w:t>
            </w:r>
          </w:p>
        </w:tc>
      </w:tr>
    </w:tbl>
    <w:sectPr>
      <w:headerReference w:type="default" r:id="rId5"/>
      <w:headerReference w:type="first" r:id="rId6"/>
      <w:footnotePr>
        <w:pos w:val="pageBottom"/>
        <w:numFmt w:val="decimal"/>
        <w:numRestart w:val="continuous"/>
      </w:footnotePr>
      <w:pgSz w:w="11900" w:h="16840"/>
      <w:pgMar w:top="1192" w:right="807" w:bottom="1218" w:left="1368" w:header="0" w:footer="3" w:gutter="0"/>
      <w:pgNumType w:start="1"/>
      <w:cols w:space="720"/>
      <w:noEndnote/>
      <w:titlePg/>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3940810</wp:posOffset>
              </wp:positionH>
              <wp:positionV relativeFrom="page">
                <wp:posOffset>467360</wp:posOffset>
              </wp:positionV>
              <wp:extent cx="54610" cy="88265"/>
              <wp:wrapNone/>
              <wp:docPr id="1" name="Shape 1"/>
              <a:graphic xmlns:a="http://schemas.openxmlformats.org/drawingml/2006/main">
                <a:graphicData uri="http://schemas.microsoft.com/office/word/2010/wordprocessingShape">
                  <wps:wsp>
                    <wps:cNvSpPr txBox="1"/>
                    <wps:spPr>
                      <a:xfrm>
                        <a:ext cx="54610" cy="8826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rFonts w:ascii="Calibri" w:eastAsia="Calibri" w:hAnsi="Calibri" w:cs="Calibri"/>
                                <w:color w:val="000000"/>
                                <w:spacing w:val="0"/>
                                <w:w w:val="100"/>
                                <w:position w:val="0"/>
                                <w:sz w:val="22"/>
                                <w:szCs w:val="22"/>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310.30000000000001pt;margin-top:36.800000000000004pt;width:4.2999999999999998pt;height:6.9500000000000002pt;z-index:-188744063;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rFonts w:ascii="Calibri" w:eastAsia="Calibri" w:hAnsi="Calibri" w:cs="Calibri"/>
                          <w:color w:val="000000"/>
                          <w:spacing w:val="0"/>
                          <w:w w:val="100"/>
                          <w:position w:val="0"/>
                          <w:sz w:val="22"/>
                          <w:szCs w:val="22"/>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_"/>
    <w:basedOn w:val="DefaultParagraphFont"/>
    <w:link w:val="Style2"/>
    <w:rPr>
      <w:rFonts w:ascii="Times New Roman" w:eastAsia="Times New Roman" w:hAnsi="Times New Roman" w:cs="Times New Roman"/>
      <w:b w:val="0"/>
      <w:bCs w:val="0"/>
      <w:i w:val="0"/>
      <w:iCs w:val="0"/>
      <w:smallCaps w:val="0"/>
      <w:strike w:val="0"/>
      <w:u w:val="none"/>
    </w:rPr>
  </w:style>
  <w:style w:type="character" w:customStyle="1" w:styleId="CharStyle6">
    <w:name w:val="Заголовок №1_"/>
    <w:basedOn w:val="DefaultParagraphFont"/>
    <w:link w:val="Style5"/>
    <w:rPr>
      <w:rFonts w:ascii="Times New Roman" w:eastAsia="Times New Roman" w:hAnsi="Times New Roman" w:cs="Times New Roman"/>
      <w:b/>
      <w:bCs/>
      <w:i w:val="0"/>
      <w:iCs w:val="0"/>
      <w:smallCaps w:val="0"/>
      <w:strike w:val="0"/>
      <w:color w:val="26282F"/>
      <w:u w:val="none"/>
    </w:rPr>
  </w:style>
  <w:style w:type="character" w:customStyle="1" w:styleId="CharStyle12">
    <w:name w:val="Колонтитул (2)_"/>
    <w:basedOn w:val="DefaultParagraphFont"/>
    <w:link w:val="Style11"/>
    <w:rPr>
      <w:rFonts w:ascii="Times New Roman" w:eastAsia="Times New Roman" w:hAnsi="Times New Roman" w:cs="Times New Roman"/>
      <w:b w:val="0"/>
      <w:bCs w:val="0"/>
      <w:i w:val="0"/>
      <w:iCs w:val="0"/>
      <w:smallCaps w:val="0"/>
      <w:strike w:val="0"/>
      <w:sz w:val="20"/>
      <w:szCs w:val="20"/>
      <w:u w:val="none"/>
    </w:rPr>
  </w:style>
  <w:style w:type="character" w:customStyle="1" w:styleId="CharStyle17">
    <w:name w:val="Подпись к таблице_"/>
    <w:basedOn w:val="DefaultParagraphFont"/>
    <w:link w:val="Style16"/>
    <w:rPr>
      <w:rFonts w:ascii="Times New Roman" w:eastAsia="Times New Roman" w:hAnsi="Times New Roman" w:cs="Times New Roman"/>
      <w:b w:val="0"/>
      <w:bCs w:val="0"/>
      <w:i w:val="0"/>
      <w:iCs w:val="0"/>
      <w:smallCaps w:val="0"/>
      <w:strike w:val="0"/>
      <w:u w:val="none"/>
    </w:rPr>
  </w:style>
  <w:style w:type="character" w:customStyle="1" w:styleId="CharStyle19">
    <w:name w:val="Другое_"/>
    <w:basedOn w:val="DefaultParagraphFont"/>
    <w:link w:val="Style18"/>
    <w:rPr>
      <w:rFonts w:ascii="Times New Roman" w:eastAsia="Times New Roman" w:hAnsi="Times New Roman" w:cs="Times New Roman"/>
      <w:b w:val="0"/>
      <w:bCs w:val="0"/>
      <w:i w:val="0"/>
      <w:iCs w:val="0"/>
      <w:smallCaps w:val="0"/>
      <w:strike w:val="0"/>
      <w:u w:val="none"/>
    </w:rPr>
  </w:style>
  <w:style w:type="paragraph" w:customStyle="1" w:styleId="Style2">
    <w:name w:val="Основной текст"/>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5">
    <w:name w:val="Заголовок №1"/>
    <w:basedOn w:val="Normal"/>
    <w:link w:val="CharStyle6"/>
    <w:pPr>
      <w:widowControl w:val="0"/>
      <w:shd w:val="clear" w:color="auto" w:fill="auto"/>
      <w:jc w:val="center"/>
      <w:outlineLvl w:val="0"/>
    </w:pPr>
    <w:rPr>
      <w:rFonts w:ascii="Times New Roman" w:eastAsia="Times New Roman" w:hAnsi="Times New Roman" w:cs="Times New Roman"/>
      <w:b/>
      <w:bCs/>
      <w:i w:val="0"/>
      <w:iCs w:val="0"/>
      <w:smallCaps w:val="0"/>
      <w:strike w:val="0"/>
      <w:color w:val="26282F"/>
      <w:u w:val="none"/>
    </w:rPr>
  </w:style>
  <w:style w:type="paragraph" w:customStyle="1" w:styleId="Style11">
    <w:name w:val="Колонтитул (2)"/>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6">
    <w:name w:val="Подпись к таблице"/>
    <w:basedOn w:val="Normal"/>
    <w:link w:val="CharStyle17"/>
    <w:pPr>
      <w:widowControl w:val="0"/>
      <w:shd w:val="clear" w:color="auto" w:fill="auto"/>
    </w:pPr>
    <w:rPr>
      <w:rFonts w:ascii="Times New Roman" w:eastAsia="Times New Roman" w:hAnsi="Times New Roman" w:cs="Times New Roman"/>
      <w:b w:val="0"/>
      <w:bCs w:val="0"/>
      <w:i w:val="0"/>
      <w:iCs w:val="0"/>
      <w:smallCaps w:val="0"/>
      <w:strike w:val="0"/>
      <w:u w:val="none"/>
    </w:rPr>
  </w:style>
  <w:style w:type="paragraph" w:customStyle="1" w:styleId="Style18">
    <w:name w:val="Другое"/>
    <w:basedOn w:val="Normal"/>
    <w:link w:val="CharStyle19"/>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header" Target="header2.xml"/></Relationships>
</file>