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1802130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1045210" distL="312420" distR="264160" simplePos="0" relativeHeight="125829379" behindDoc="0" locked="0" layoutInCell="1" allowOverlap="1">
                <wp:simplePos x="0" y="0"/>
                <wp:positionH relativeFrom="page">
                  <wp:posOffset>948690</wp:posOffset>
                </wp:positionH>
                <wp:positionV relativeFrom="paragraph">
                  <wp:posOffset>728980</wp:posOffset>
                </wp:positionV>
                <wp:extent cx="2249170" cy="149987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499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Ростовской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Ворошиловский, 2/2, офис 403</w:t>
                              <w:br/>
                              <w:t>г. Ростов-на-Дону, 344006</w:t>
                              <w:br/>
                              <w:t>тел. (863) 263-31-04, факс (863) 240-99-59</w:t>
                              <w:br/>
                              <w:t>е-тай: 1о61@Гав.§оу.ги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4.700000000000003pt;margin-top:57.399999999999999pt;width:177.09999999999999pt;height:118.10000000000001pt;z-index:-125829374;mso-wrap-distance-left:24.600000000000001pt;mso-wrap-distance-top:56.399999999999999pt;mso-wrap-distance-right:20.800000000000001pt;mso-wrap-distance-bottom:82.29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Ростовской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Ворошиловский, 2/2, офис 403</w:t>
                        <w:br/>
                        <w:t>г. Ростов-на-Дону, 344006</w:t>
                        <w:br/>
                        <w:t>тел. (863) 263-31-04, факс (863) 240-99-59</w:t>
                        <w:br/>
                        <w:t>е-тай: 1о61@Гав.§оу.ги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2270760" distB="792480" distL="181610" distR="1525905" simplePos="0" relativeHeight="125829381" behindDoc="0" locked="0" layoutInCell="1" allowOverlap="1">
            <wp:simplePos x="0" y="0"/>
            <wp:positionH relativeFrom="page">
              <wp:posOffset>817880</wp:posOffset>
            </wp:positionH>
            <wp:positionV relativeFrom="paragraph">
              <wp:posOffset>2283460</wp:posOffset>
            </wp:positionV>
            <wp:extent cx="1121410" cy="201295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121410" cy="2012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750570</wp:posOffset>
                </wp:positionH>
                <wp:positionV relativeFrom="paragraph">
                  <wp:posOffset>2633980</wp:posOffset>
                </wp:positionV>
                <wp:extent cx="2578735" cy="15557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 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9.100000000000001pt;margin-top:207.40000000000001pt;width:203.05000000000001pt;height:12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3081655" distB="0" distL="117475" distR="114300" simplePos="0" relativeHeight="125829382" behindDoc="0" locked="0" layoutInCell="1" allowOverlap="1">
            <wp:simplePos x="0" y="0"/>
            <wp:positionH relativeFrom="page">
              <wp:posOffset>753745</wp:posOffset>
            </wp:positionH>
            <wp:positionV relativeFrom="paragraph">
              <wp:posOffset>3094355</wp:posOffset>
            </wp:positionV>
            <wp:extent cx="2597150" cy="182880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«ЛВД»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420006, г. Казань, ул. Рахимова, 21,пом.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11а/я 108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2акаг.Кй@ тай.ги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РО «ЦГБ» в г. Новошахтинске ул. Просвещения, 20/11, г. Новошахтинск, Ростовская область, 346918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сдЬ-8аV^п@уап^еx.^и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«РТС-тендер» наб. Тараса Шевченко, 23А, Москва (этаж 25)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4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ко@г1§-1еп^ег.ги; тГо@118-1еп4ег.ги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дела</w:t>
        <w:br/>
        <w:t>№061/06/51-4742/2024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186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11.01.2024</w:t>
        <w:tab/>
        <w:t>г. Ростов-на-Дону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России, Комиссия) по контролю соблюдения законодательства в сфере закупок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1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  <w:tab/>
        <w:t>М.А. Благодарев,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1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>С.А. Евстратова,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В.О. Беркутов, рассмотрев дело №061/06/51-4742/2023 по жалобе ООО «ЛВД» (далее - Заявитель) о нарушении ГБУ РО «ЦГБ» в г. Новошахтинске (далее - Заказчик) при проведении открытого аукциона в электронной форме №0358300088223000237 «Поставка изделий медицинского назначения (шовный материал)» (далее - Аукцион)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Закон), путем использования системы видеоконференц-связи (ВКС) в отсутствие сторон, уведомленных надлежащим образом,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Ростовское УФАС России поступила жалоба ООО «ЛВД» на действия ГБУ РО «ЦГБ» в г. Новошахтинске при разработке извещения к электронному аукциону.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 возражениях на жалобу: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7" w:val="left"/>
        </w:tabs>
        <w:bidi w:val="0"/>
        <w:spacing w:before="0" w:after="440" w:line="240" w:lineRule="auto"/>
        <w:ind w:left="0" w:right="0" w:firstLine="8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согласился с наличием нарушений Закона в действиях Заказчика;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указал причины формирования спорного описания объекта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представил пояснения по доводам жалобы, в которых признал доводы Заявителя.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ч.ч.1,3 ст.99 Закона, в ходе рассмотрения дела установлено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«Извещению о проведении аукциона в электронной форме» № 0358300088223000237 от 25.12.2023: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-установлены дата и время окончания подачи заявок - 09.01.2023 09:00 (МСК);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-начальная (максимальная) цена контракта (НМЦК) составила 547 624,52 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полагает, что определенной Заказчиком совокупности характеристик приобретаемых медицинских изделий по позициям №3,4, изложенной в описании объекта закупки, соответствует товар единственного производителя.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1 ч. 2 ст. 42 Закона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ч. 1 ст. 33 Закона установлено, что Заказчик в случаях, предусмотренных настоящим Федеральным законом, при описании объекта закупки должен руководствоваться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совокупного толкования п.1,2 ч.1, ч.2 ст.33 Закона следует, что описание объекта закупки должно носить объективный характер, то есть быть продиктовано истинными (а не мнимыми и недоказанными) потребностями заказчика,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требований, удовлетворить которые может лишь ограниченный круг лиц (при отсутствии доказательств действительной необходимости в установлении таких требований).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Описание объекта закупки - это фиксация заказчиком в извещении о закупке качественных и количественных характеристик, признаков товара, обусловливающих их способность удовлетворять потребности и запросы заказчика, соответствовать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своему назначению и предъявляемым требованиям.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правовой позиции ФАС России, выраженной в письме от 19.04.2023 №ПИ/30510/23, объект закупки должен быть сформирован таким образом, чтобы совокупности характеристик товара соответствовало как минимум два производителя.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не представил информацию, о соответствии описанию объекта закупки по спорным позициям товара иных производителей, кроме товара производства ООО НПО «Биополимер».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очередь, Заявитель представил информацию и документы, свидетельствующие об обоснованности довода жалобы со ссылками на официальные инструкции по применению нитей хирургических синтетических монофиламентных рассасывающихся.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 нарушил ч. 2 ст. 42 Закона при формировании описания объекта закупки. Довод жалобы Заявителя признан обоснованным.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проведения внеплановой проверки Ростовским УФАС России выявлено нарушение Закона.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ч.1 ст.42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16) размер и порядок внесения денежных средств в качестве обеспечения заявки на участие в закупке, условия независимой гарантии (если требование обеспечения заявки установлено в соответствии со статьей 44 настоящего Федерального закона), реквизиты счета, на котором в соответствии с законодательством Российской Федерации учитываются операции со средствами, поступающими заказчику, реквизиты счета для перечисления денежных средств в случае, предусмотренном частью 13 статьи 44 настоящего Федерального закона;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17) размер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статьей 96 настоящего Федерального закона).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информации из ЕИС, размещенное извещение об осуществлении закупки не содержит информацию о реквизитах счета, на котором в соответствии с законодательством Российской Федерации учитываются операции со средствами, поступающими заказчику (ЕИС — раздел «Платежные реквизиты» - «Номер расчётного счёта» 00000000000000000000 ... 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 нарушил ч.1 ст.42 Закона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Постановления Правительства РФ от 26.08.2013г. № 728, в соответствии с ч.15 ст.99, ч.8 ст.106 Закона,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«ЛВД»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4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Заказчика нарушившим ч. 1,2 ст. 42 Закона.</w:t>
      </w:r>
      <w:r>
        <w:br w:type="page"/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обязательное для исполнения предписание об отмене всех сформированных протоколов, внесении изменений в извещение согласно нормам Закона и с учетом настоящего решения.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4" w:val="left"/>
        </w:tabs>
        <w:bidi w:val="0"/>
        <w:spacing w:before="0" w:after="3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Рассмотреть вопрос о привлечении к административной ответственности виновного должностного лица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880"/>
        <w:jc w:val="both"/>
        <w:rPr>
          <w:sz w:val="24"/>
          <w:szCs w:val="24"/>
        </w:rPr>
      </w:pPr>
      <w:r>
        <mc:AlternateContent>
          <mc:Choice Requires="wps">
            <w:drawing>
              <wp:anchor distT="0" distB="1256030" distL="114300" distR="120650" simplePos="0" relativeHeight="125829383" behindDoc="0" locked="0" layoutInCell="1" allowOverlap="1">
                <wp:simplePos x="0" y="0"/>
                <wp:positionH relativeFrom="page">
                  <wp:posOffset>5934075</wp:posOffset>
                </wp:positionH>
                <wp:positionV relativeFrom="paragraph">
                  <wp:posOffset>965200</wp:posOffset>
                </wp:positionV>
                <wp:extent cx="1243330" cy="24384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333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М.А. Благодарев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67.25pt;margin-top:76.pt;width:97.900000000000006pt;height:19.199999999999999pt;z-index:-125829370;mso-wrap-distance-left:9.pt;mso-wrap-distance-right:9.5pt;mso-wrap-distance-bottom:98.900000000000006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М.А. Благодарев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256030" distB="0" distL="160020" distR="114300" simplePos="0" relativeHeight="125829385" behindDoc="0" locked="0" layoutInCell="1" allowOverlap="1">
                <wp:simplePos x="0" y="0"/>
                <wp:positionH relativeFrom="page">
                  <wp:posOffset>5979795</wp:posOffset>
                </wp:positionH>
                <wp:positionV relativeFrom="paragraph">
                  <wp:posOffset>2221230</wp:posOffset>
                </wp:positionV>
                <wp:extent cx="1203960" cy="24384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396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С.А. Евстратова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0.85000000000002pt;margin-top:174.90000000000001pt;width:94.799999999999997pt;height:19.199999999999999pt;z-index:-125829368;mso-wrap-distance-left:12.6pt;mso-wrap-distance-top:98.900000000000006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С.А. Евстратова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ч.9 ст.106 Закона решение может быть обжаловано в судебном порядке в течение трех месяцев со дня его принятия.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374" w:lineRule="auto"/>
        <w:ind w:right="0" w:firstLine="0"/>
        <w:jc w:val="left"/>
        <w:rPr>
          <w:sz w:val="20"/>
          <w:szCs w:val="20"/>
        </w:rPr>
      </w:pPr>
      <w:r>
        <w:rPr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 xml:space="preserve">Мест для подписи </w:t>
      </w:r>
      <w:r>
        <w:rPr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Благодарен М. 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left"/>
        <w:rPr>
          <w:sz w:val="20"/>
          <w:szCs w:val="20"/>
        </w:rPr>
      </w:pPr>
      <w:r>
        <w:rPr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 xml:space="preserve">Мост для подписи </w:t>
      </w:r>
      <w:r>
        <w:rPr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ЕгСЕраюна С. 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В.О. Беркутов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Мест для подписи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980" w:line="240" w:lineRule="auto"/>
        <w:ind w:right="0" w:firstLine="0"/>
        <w:jc w:val="left"/>
        <w:rPr>
          <w:sz w:val="20"/>
          <w:szCs w:val="20"/>
        </w:rPr>
      </w:pPr>
      <w:r>
        <w:rPr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Беркутов В. 0-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Исп.Беркутов В.О.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тел.(863) 240-86-88, вн.061-132</w:t>
      </w:r>
    </w:p>
    <w:sectPr>
      <w:footerReference w:type="default" r:id="rId11"/>
      <w:footerReference w:type="first" r:id="rId12"/>
      <w:footnotePr>
        <w:pos w:val="pageBottom"/>
        <w:numFmt w:val="decimal"/>
        <w:numRestart w:val="continuous"/>
      </w:footnotePr>
      <w:pgSz w:w="11900" w:h="16840"/>
      <w:pgMar w:top="1036" w:right="499" w:bottom="1222" w:left="1034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715645</wp:posOffset>
              </wp:positionH>
              <wp:positionV relativeFrom="page">
                <wp:posOffset>9980295</wp:posOffset>
              </wp:positionV>
              <wp:extent cx="5702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350000000000001pt;margin-top:785.85000000000002pt;width:44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750570</wp:posOffset>
              </wp:positionH>
              <wp:positionV relativeFrom="page">
                <wp:posOffset>9980295</wp:posOffset>
              </wp:positionV>
              <wp:extent cx="57023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9.100000000000001pt;margin-top:785.85000000000002pt;width:44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character" w:customStyle="1" w:styleId="CharStyle8">
    <w:name w:val="Подпись к картинке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8"/>
      <w:szCs w:val="18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9">
    <w:name w:val="Основной текст (3)_"/>
    <w:basedOn w:val="DefaultParagraphFont"/>
    <w:link w:val="Style18"/>
    <w:rPr>
      <w:rFonts w:ascii="Arial" w:eastAsia="Arial" w:hAnsi="Arial" w:cs="Arial"/>
      <w:b/>
      <w:bCs/>
      <w:i w:val="0"/>
      <w:iCs w:val="0"/>
      <w:smallCaps w:val="0"/>
      <w:strike w:val="0"/>
      <w:color w:val="848484"/>
      <w:sz w:val="19"/>
      <w:szCs w:val="19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paragraph" w:customStyle="1" w:styleId="Style7">
    <w:name w:val="Подпись к картинке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8"/>
      <w:szCs w:val="18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auto"/>
      <w:spacing w:after="880" w:line="360" w:lineRule="auto"/>
      <w:ind w:left="3600"/>
    </w:pPr>
    <w:rPr>
      <w:rFonts w:ascii="Arial" w:eastAsia="Arial" w:hAnsi="Arial" w:cs="Arial"/>
      <w:b/>
      <w:bCs/>
      <w:i w:val="0"/>
      <w:iCs w:val="0"/>
      <w:smallCaps w:val="0"/>
      <w:strike w:val="0"/>
      <w:color w:val="848484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