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1777365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045210" distL="312420" distR="264160" simplePos="0" relativeHeight="125829379" behindDoc="0" locked="0" layoutInCell="1" allowOverlap="1">
                <wp:simplePos x="0" y="0"/>
                <wp:positionH relativeFrom="page">
                  <wp:posOffset>923925</wp:posOffset>
                </wp:positionH>
                <wp:positionV relativeFrom="paragraph">
                  <wp:posOffset>728980</wp:posOffset>
                </wp:positionV>
                <wp:extent cx="2249170" cy="1499870"/>
                <wp:wrapSquare wrapText="right"/>
                <wp:docPr id="3" name="Shape 3"/>
                <a:graphic xmlns:a="http://schemas.openxmlformats.org/drawingml/2006/main">
                  <a:graphicData uri="http://schemas.microsoft.com/office/word/2010/wordprocessingShape">
                    <wps:wsp>
                      <wps:cNvSpPr txBox="1"/>
                      <wps:spPr>
                        <a:xfrm>
                          <a:ext cx="2249170" cy="149987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75pt;margin-top:57.399999999999999pt;width:177.09999999999999pt;height:118.10000000000001pt;z-index:-125829374;mso-wrap-distance-left:24.600000000000001pt;mso-wrap-distance-top:56.399999999999999pt;mso-wrap-distance-right:20.800000000000001pt;mso-wrap-distance-bottom:82.299999999999997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v:textbox>
                <w10:wrap type="square" side="right" anchorx="page"/>
              </v:shape>
            </w:pict>
          </mc:Fallback>
        </mc:AlternateContent>
      </w:r>
      <w:r>
        <w:drawing>
          <wp:anchor distT="2270760" distB="792480" distL="181610" distR="1525905" simplePos="0" relativeHeight="125829381" behindDoc="0" locked="0" layoutInCell="1" allowOverlap="1">
            <wp:simplePos x="0" y="0"/>
            <wp:positionH relativeFrom="page">
              <wp:posOffset>793115</wp:posOffset>
            </wp:positionH>
            <wp:positionV relativeFrom="paragraph">
              <wp:posOffset>2283460</wp:posOffset>
            </wp:positionV>
            <wp:extent cx="1121410" cy="20129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725805</wp:posOffset>
                </wp:positionH>
                <wp:positionV relativeFrom="paragraph">
                  <wp:posOffset>2627630</wp:posOffset>
                </wp:positionV>
                <wp:extent cx="2578735" cy="161290"/>
                <wp:wrapNone/>
                <wp:docPr id="7" name="Shape 7"/>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wps:txbx>
                      <wps:bodyPr lIns="0" tIns="0" rIns="0" bIns="0">
                        <a:noAutoFit/>
                      </wps:bodyPr>
                    </wps:wsp>
                  </a:graphicData>
                </a:graphic>
              </wp:anchor>
            </w:drawing>
          </mc:Choice>
          <mc:Fallback>
            <w:pict>
              <v:shape id="_x0000_s1033" type="#_x0000_t202" style="position:absolute;margin-left:57.149999999999999pt;margin-top:206.90000000000001pt;width:203.05000000000001pt;height:12.7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v:textbox>
                <w10:wrap anchorx="page"/>
              </v:shape>
            </w:pict>
          </mc:Fallback>
        </mc:AlternateContent>
      </w:r>
      <w:r>
        <w:drawing>
          <wp:anchor distT="3081655" distB="0" distL="117475" distR="114300" simplePos="0" relativeHeight="125829382" behindDoc="0" locked="0" layoutInCell="1" allowOverlap="1">
            <wp:simplePos x="0" y="0"/>
            <wp:positionH relativeFrom="page">
              <wp:posOffset>728980</wp:posOffset>
            </wp:positionH>
            <wp:positionV relativeFrom="paragraph">
              <wp:posOffset>3094355</wp:posOffset>
            </wp:positionV>
            <wp:extent cx="2597150" cy="18288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597150" cy="182880"/>
                    </a:xfrm>
                    <a:prstGeom prst="rect"/>
                  </pic:spPr>
                </pic:pic>
              </a:graphicData>
            </a:graphic>
          </wp:anchor>
        </w:drawing>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«Апгрейт» (далее - Заявитель) 344022, г. Ростов-на-Дону, ул. Станиславского, №167/25, офис 602</w:t>
      </w:r>
    </w:p>
    <w:p>
      <w:pPr>
        <w:pStyle w:val="Style9"/>
        <w:keepNext w:val="0"/>
        <w:keepLines w:val="0"/>
        <w:widowControl w:val="0"/>
        <w:shd w:val="clear" w:color="auto" w:fill="auto"/>
        <w:bidi w:val="0"/>
        <w:spacing w:before="0" w:after="240" w:line="240" w:lineRule="auto"/>
        <w:ind w:left="1020" w:right="0" w:firstLine="0"/>
        <w:jc w:val="both"/>
      </w:pPr>
      <w:r>
        <w:fldChar w:fldCharType="begin"/>
      </w:r>
      <w:r>
        <w:rPr/>
        <w:instrText> HYPERLINK "mailto:asd456wsx96@yandex.ru" </w:instrText>
      </w:r>
      <w:r>
        <w:fldChar w:fldCharType="separate"/>
      </w:r>
      <w:r>
        <w:rPr>
          <w:color w:val="000080"/>
          <w:spacing w:val="0"/>
          <w:w w:val="100"/>
          <w:position w:val="0"/>
          <w:sz w:val="24"/>
          <w:szCs w:val="24"/>
          <w:u w:val="single"/>
          <w:shd w:val="clear" w:color="auto" w:fill="auto"/>
          <w:lang w:val="ru-RU" w:eastAsia="ru-RU" w:bidi="ru-RU"/>
        </w:rPr>
        <w:t>а8д456\8х96@уапдех.ш</w:t>
      </w:r>
      <w:r>
        <w:fldChar w:fldCharType="end"/>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Государственное бюджетное учреждение Ростовской области "Областная клиническая больница №2" (далее - Заказчик)</w:t>
      </w:r>
    </w:p>
    <w:p>
      <w:pPr>
        <w:pStyle w:val="Style9"/>
        <w:keepNext w:val="0"/>
        <w:keepLines w:val="0"/>
        <w:widowControl w:val="0"/>
        <w:shd w:val="clear" w:color="auto" w:fill="auto"/>
        <w:bidi w:val="0"/>
        <w:spacing w:before="0" w:after="0" w:line="240" w:lineRule="auto"/>
        <w:ind w:left="1020" w:right="0" w:firstLine="0"/>
        <w:jc w:val="both"/>
      </w:pPr>
      <w:r>
        <w:rPr>
          <w:color w:val="000000"/>
          <w:spacing w:val="0"/>
          <w:w w:val="100"/>
          <w:position w:val="0"/>
          <w:sz w:val="24"/>
          <w:szCs w:val="24"/>
          <w:shd w:val="clear" w:color="auto" w:fill="auto"/>
          <w:lang w:val="ru-RU" w:eastAsia="ru-RU" w:bidi="ru-RU"/>
        </w:rPr>
        <w:t>ул. 1-ой Конной Армии, 33, г. Ростов-на-Дону, 344029</w:t>
      </w:r>
    </w:p>
    <w:p>
      <w:pPr>
        <w:pStyle w:val="Style9"/>
        <w:keepNext w:val="0"/>
        <w:keepLines w:val="0"/>
        <w:widowControl w:val="0"/>
        <w:shd w:val="clear" w:color="auto" w:fill="auto"/>
        <w:bidi w:val="0"/>
        <w:spacing w:before="0" w:after="240" w:line="240" w:lineRule="auto"/>
        <w:ind w:left="1020" w:right="0" w:firstLine="0"/>
        <w:jc w:val="both"/>
      </w:pPr>
      <w:r>
        <w:rPr>
          <w:color w:val="000000"/>
          <w:spacing w:val="0"/>
          <w:w w:val="100"/>
          <w:position w:val="0"/>
          <w:sz w:val="24"/>
          <w:szCs w:val="24"/>
          <w:shd w:val="clear" w:color="auto" w:fill="auto"/>
          <w:lang w:val="ru-RU" w:eastAsia="ru-RU" w:bidi="ru-RU"/>
        </w:rPr>
        <w:t>оЬ2р@таП.ги,</w:t>
      </w:r>
      <w:r>
        <w:fldChar w:fldCharType="begin"/>
      </w:r>
      <w:r>
        <w:rPr/>
        <w:instrText> HYPERLINK "mailto:ob2_pao@mail.ru"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оЬ2 рао@таП.ш</w:t>
      </w:r>
      <w:r>
        <w:fldChar w:fldCharType="end"/>
      </w:r>
    </w:p>
    <w:p>
      <w:pPr>
        <w:pStyle w:val="Style9"/>
        <w:keepNext w:val="0"/>
        <w:keepLines w:val="0"/>
        <w:widowControl w:val="0"/>
        <w:shd w:val="clear" w:color="auto" w:fill="auto"/>
        <w:bidi w:val="0"/>
        <w:spacing w:before="0" w:after="1120" w:line="240" w:lineRule="auto"/>
        <w:ind w:left="1020" w:right="0" w:firstLine="0"/>
        <w:jc w:val="left"/>
      </w:pPr>
      <w:r>
        <w:rPr>
          <w:color w:val="000000"/>
          <w:spacing w:val="0"/>
          <w:w w:val="100"/>
          <w:position w:val="0"/>
          <w:sz w:val="24"/>
          <w:szCs w:val="24"/>
          <w:shd w:val="clear" w:color="auto" w:fill="auto"/>
          <w:lang w:val="ru-RU" w:eastAsia="ru-RU" w:bidi="ru-RU"/>
        </w:rPr>
        <w:t>ООО «РТС-тендер» (далее - оператор) 121151, г. Москва, набережная Тараса Шевченко, 23А, этаж 25, пом. 1 ко@118-1епдег.ш; тГо@118-1епдег.ш</w:t>
      </w:r>
    </w:p>
    <w:p>
      <w:pPr>
        <w:pStyle w:val="Style9"/>
        <w:keepNext w:val="0"/>
        <w:keepLines w:val="0"/>
        <w:widowControl w:val="0"/>
        <w:shd w:val="clear" w:color="auto" w:fill="auto"/>
        <w:tabs>
          <w:tab w:pos="8359" w:val="left"/>
        </w:tabs>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br/>
        <w:t>по результатам рассмотрения дела № 061/06/42-4743/2023</w:t>
        <w:br/>
        <w:t>11.01.2024</w:t>
        <w:tab/>
        <w:t>г. Ростов-на-Дону</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9"/>
        <w:keepNext w:val="0"/>
        <w:keepLines w:val="0"/>
        <w:widowControl w:val="0"/>
        <w:shd w:val="clear" w:color="auto" w:fill="auto"/>
        <w:tabs>
          <w:tab w:pos="835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tab/>
        <w:t>М.А. Благодарев,</w:t>
      </w:r>
    </w:p>
    <w:p>
      <w:pPr>
        <w:pStyle w:val="Style9"/>
        <w:keepNext w:val="0"/>
        <w:keepLines w:val="0"/>
        <w:widowControl w:val="0"/>
        <w:shd w:val="clear" w:color="auto" w:fill="auto"/>
        <w:tabs>
          <w:tab w:pos="835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tab/>
        <w:t>А.С. Вишнякова,</w:t>
      </w:r>
    </w:p>
    <w:p>
      <w:pPr>
        <w:pStyle w:val="Style9"/>
        <w:keepNext w:val="0"/>
        <w:keepLines w:val="0"/>
        <w:widowControl w:val="0"/>
        <w:shd w:val="clear" w:color="auto" w:fill="auto"/>
        <w:bidi w:val="0"/>
        <w:spacing w:before="0" w:after="0" w:line="240" w:lineRule="auto"/>
        <w:ind w:left="0" w:right="0" w:firstLine="8480"/>
        <w:jc w:val="both"/>
      </w:pPr>
      <w:r>
        <w:rPr>
          <w:color w:val="000000"/>
          <w:spacing w:val="0"/>
          <w:w w:val="100"/>
          <w:position w:val="0"/>
          <w:sz w:val="24"/>
          <w:szCs w:val="24"/>
          <w:shd w:val="clear" w:color="auto" w:fill="auto"/>
          <w:lang w:val="ru-RU" w:eastAsia="ru-RU" w:bidi="ru-RU"/>
        </w:rPr>
        <w:t>А.А. Михарская, по итогам рассмотрения жалобы Заявителя на действия Заказчика при проведении электронного аукциона № 0358200041323000673 «На право заключения договора на поставку аппаратной стойки эндоскопической для нужд урологического отделения ГБУ РО "ОКБ № 2" в 2024 году» (далее - аукцион, закупка)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 Барабанова Д.А. (доверенность от 09.01.2024 г. б/н); представителей Заказчика - Шевченко В.А. (доверенность от 09.01.2024 г. № 1), Зиберт А.А. (доверенность от 09.01.2024 г. № 2),</w:t>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27.12.2023 г. поступила жалоба Заявителя на действия Заказчика при описании объекта закупки.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предоставил в материалы дела письменные пояснения.</w:t>
      </w:r>
    </w:p>
    <w:p>
      <w:pPr>
        <w:pStyle w:val="Style9"/>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 1,3 ст. 99 Закона, Постановлением Правительства РФ от 01.10.2020 г. № 1576, в ходе рассмотрения дела установлено следующее.</w:t>
      </w:r>
    </w:p>
    <w:p>
      <w:pPr>
        <w:pStyle w:val="Style9"/>
        <w:keepNext w:val="0"/>
        <w:keepLines w:val="0"/>
        <w:widowControl w:val="0"/>
        <w:shd w:val="clear" w:color="auto" w:fill="auto"/>
        <w:bidi w:val="0"/>
        <w:spacing w:before="0" w:after="440" w:line="240" w:lineRule="auto"/>
        <w:ind w:left="0" w:right="0" w:firstLine="740"/>
        <w:jc w:val="both"/>
      </w:pPr>
      <w:r>
        <w:rPr>
          <w:color w:val="000000"/>
          <w:spacing w:val="0"/>
          <w:w w:val="100"/>
          <w:position w:val="0"/>
          <w:sz w:val="24"/>
          <w:szCs w:val="24"/>
          <w:shd w:val="clear" w:color="auto" w:fill="auto"/>
          <w:lang w:val="ru-RU" w:eastAsia="ru-RU" w:bidi="ru-RU"/>
        </w:rPr>
        <w:t>Заказчиком в ЕИС на официальном сайте \\л\л\\хакирк1.до\/ги 18.12.2023 г. размещено Извещение об осуществлении закупки. 19.12.2023 г., 21.12.2023 г. в Извещение внесены</w:t>
      </w:r>
    </w:p>
    <w:p>
      <w:pPr>
        <w:pStyle w:val="Style16"/>
        <w:keepNext/>
        <w:keepLines/>
        <w:widowControl w:val="0"/>
        <w:shd w:val="clear" w:color="auto" w:fill="auto"/>
        <w:bidi w:val="0"/>
        <w:spacing w:before="0" w:after="0" w:line="240" w:lineRule="auto"/>
        <w:ind w:left="0" w:right="0" w:firstLine="0"/>
        <w:jc w:val="both"/>
        <w:rPr>
          <w:sz w:val="24"/>
          <w:szCs w:val="24"/>
        </w:rPr>
      </w:pPr>
      <w:bookmarkStart w:id="0" w:name="bookmark0"/>
      <w:r>
        <w:rPr>
          <w:color w:val="000000"/>
          <w:spacing w:val="0"/>
          <w:w w:val="100"/>
          <w:position w:val="0"/>
          <w:sz w:val="38"/>
          <w:szCs w:val="38"/>
          <w:shd w:val="clear" w:color="auto" w:fill="auto"/>
          <w:lang w:val="ru-RU" w:eastAsia="ru-RU" w:bidi="ru-RU"/>
        </w:rPr>
        <w:t>||||||||||||||||||||||||</w:t>
      </w:r>
      <w:bookmarkEnd w:id="0"/>
      <w:r>
        <w:rPr>
          <w:color w:val="000000"/>
          <w:spacing w:val="0"/>
          <w:w w:val="100"/>
          <w:position w:val="0"/>
          <w:sz w:val="38"/>
          <w:szCs w:val="38"/>
          <w:shd w:val="clear" w:color="auto" w:fill="auto"/>
          <w:lang w:val="ru-RU" w:eastAsia="ru-RU" w:bidi="ru-RU"/>
        </w:rPr>
        <w:t xml:space="preserve"> </w:t>
      </w:r>
      <w:r>
        <w:rPr>
          <w:rStyle w:val="CharStyle10"/>
        </w:rPr>
        <w:t>изменения, согласно которым: установлены дата и время окончания подачи заявок - 28.12.2023 в 07:00; начальная (максимальная) цена контракта составила 20 334 709.58 рублей.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закупки от 29.12.2023 г. аукцион признан несостоявшимся, так как на участие в закупке подана только одна заявка; заявка признана соответствующей требованиям Закона и Извещения.</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Контракт по итогам закупки на момент рассмотрения жалобы не заключен.</w:t>
      </w:r>
    </w:p>
    <w:p>
      <w:pPr>
        <w:pStyle w:val="Style9"/>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Заявителя, при описании объекта закупки Заказчиком неправомерно установлены требования к товару, что привело к невозможности предложения товаров иных производителей, кроме товара единственного производителя - «Олимпас Медикал Системс Корп.».</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Оценивая довод жалобы, Комиссия руководствуется следующим: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ч. 1 ст. 33 Закона предусмотрено,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совокупного толкования п. 1, 2 ч. 1, ч. 2 ст. 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Включение Заказчиком в извещение о закупке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правовой позиции ФАС России, выраженной в письмах от 04.03.2021 г. № ПИ/16150/21, от 19.04.2023 г. № ПИ/30510/23, объект закупки должен быть сформирован таким образом, чтобы совокупности характеристик товара соответствовало как минимум два производителя.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Частью 4 ст. 38 Федерального закона от 21.11.2011 № 323-ФЗ «Об основах охраны здоровья граждан в Российской Федерации» (далее — Закон № 323-ФЗ) определено, что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 6 Постановления Правительства РФ от 27.12.2012 № 1416 «Об утверждении</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Правил государственной регистрации медицинских изделий» (далее — Постановление № 1416)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10 Постановления № 1416 для государственной регистрации медицинского изделия (за исключением медицинских изделий, включенных в перечень) представляются, в том числе, следующие документы:</w:t>
      </w:r>
    </w:p>
    <w:p>
      <w:pPr>
        <w:pStyle w:val="Style9"/>
        <w:keepNext w:val="0"/>
        <w:keepLines w:val="0"/>
        <w:widowControl w:val="0"/>
        <w:numPr>
          <w:ilvl w:val="0"/>
          <w:numId w:val="3"/>
        </w:numPr>
        <w:shd w:val="clear" w:color="auto" w:fill="auto"/>
        <w:tabs>
          <w:tab w:pos="9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техническая документация производителя (изготовителя) на медицинское изделие;</w:t>
      </w:r>
    </w:p>
    <w:p>
      <w:pPr>
        <w:pStyle w:val="Style9"/>
        <w:keepNext w:val="0"/>
        <w:keepLines w:val="0"/>
        <w:widowControl w:val="0"/>
        <w:numPr>
          <w:ilvl w:val="0"/>
          <w:numId w:val="3"/>
        </w:numPr>
        <w:shd w:val="clear" w:color="auto" w:fill="auto"/>
        <w:tabs>
          <w:tab w:pos="95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пп. г) п. 37 Постановления № 1416 к изменениям, вносимым в документы, содержащиеся в регистрационном досье, не требующим проведения экспертизы качества, эффективности и безопасности медицинского изделия, относятся:</w:t>
      </w:r>
    </w:p>
    <w:p>
      <w:pPr>
        <w:pStyle w:val="Style9"/>
        <w:keepNext w:val="0"/>
        <w:keepLines w:val="0"/>
        <w:widowControl w:val="0"/>
        <w:numPr>
          <w:ilvl w:val="0"/>
          <w:numId w:val="3"/>
        </w:numPr>
        <w:shd w:val="clear" w:color="auto" w:fill="auto"/>
        <w:tabs>
          <w:tab w:pos="93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изменение наименования медицинского изделия в случае, если не изменились свойства и характеристики, влияющие на качество, эффективность и безопасность медицинского изделия, или совершенствуются его свойства и характеристики при неизменности функционального назначения и (или) принципа действия, предусматривающее:</w:t>
      </w:r>
    </w:p>
    <w:p>
      <w:pPr>
        <w:pStyle w:val="Style9"/>
        <w:keepNext w:val="0"/>
        <w:keepLines w:val="0"/>
        <w:widowControl w:val="0"/>
        <w:numPr>
          <w:ilvl w:val="0"/>
          <w:numId w:val="3"/>
        </w:numPr>
        <w:shd w:val="clear" w:color="auto" w:fill="auto"/>
        <w:tabs>
          <w:tab w:pos="9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добавление (исключение) принадлежностей медицинского изделия или изменение их наименования;</w:t>
      </w:r>
    </w:p>
    <w:p>
      <w:pPr>
        <w:pStyle w:val="Style9"/>
        <w:keepNext w:val="0"/>
        <w:keepLines w:val="0"/>
        <w:widowControl w:val="0"/>
        <w:numPr>
          <w:ilvl w:val="0"/>
          <w:numId w:val="3"/>
        </w:numPr>
        <w:shd w:val="clear" w:color="auto" w:fill="auto"/>
        <w:tabs>
          <w:tab w:pos="9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указание, изменение и исключение товарного знака и иных средств индивидуализации медицинского изделия;</w:t>
      </w:r>
    </w:p>
    <w:p>
      <w:pPr>
        <w:pStyle w:val="Style9"/>
        <w:keepNext w:val="0"/>
        <w:keepLines w:val="0"/>
        <w:widowControl w:val="0"/>
        <w:numPr>
          <w:ilvl w:val="0"/>
          <w:numId w:val="3"/>
        </w:numPr>
        <w:shd w:val="clear" w:color="auto" w:fill="auto"/>
        <w:tabs>
          <w:tab w:pos="9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изменение количества единиц медицинского изделия или его составных частей, комплектующих, указанных в приложении к регистрационному удостоверению;</w:t>
      </w:r>
    </w:p>
    <w:p>
      <w:pPr>
        <w:pStyle w:val="Style9"/>
        <w:keepNext w:val="0"/>
        <w:keepLines w:val="0"/>
        <w:widowControl w:val="0"/>
        <w:numPr>
          <w:ilvl w:val="0"/>
          <w:numId w:val="3"/>
        </w:numPr>
        <w:shd w:val="clear" w:color="auto" w:fill="auto"/>
        <w:tabs>
          <w:tab w:pos="93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указание или исключение вариантов исполнения (моделей) медицинского изделия;</w:t>
      </w:r>
    </w:p>
    <w:p>
      <w:pPr>
        <w:pStyle w:val="Style9"/>
        <w:keepNext w:val="0"/>
        <w:keepLines w:val="0"/>
        <w:widowControl w:val="0"/>
        <w:numPr>
          <w:ilvl w:val="0"/>
          <w:numId w:val="3"/>
        </w:numPr>
        <w:shd w:val="clear" w:color="auto" w:fill="auto"/>
        <w:tabs>
          <w:tab w:pos="93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изменение маркировки и (или) упаковки медицинского изделия.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пункте 38 Постановления № 1416 установлено, что внесение изменений в документы, указанные в подпунктах "в" и "г" пункта 10 настоящих Правил (за исключением случаев, указанных в подпункте "г" пункта 37 настоящих Правил), осуществляется по результатам экспертизы качества, эффективности и безопасности медицинского изделия, проведенной в порядке, аналогичном порядку проведения экспертизы качества, эффективности и безопасности медицинского изделия в целях его государственной регистрации в соответствии с пунктом 21 настоящих Правил, в случае если регистрирующим органом по результатам проверки полноты и достоверности сведений, содержащихся в представленных документах, установлено, что внесение заявленных изменений влечет изменение свойств и характеристик, влияющих на качество, эффективность и безопасность медицинского изделия, или совершенствует его свойства и характеристики при неизменности функционального назначения и (или) принципа действия медицинского изделия.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Исходя из перечисленных положений Постановления № 1416 инструкция по применению является официальным документом, содержащим информацию о медицинском изделии, необходимую и достаточную для его эффективного и безопасного медицинского применения, и предоставляется в составе регистрационного досье в Росздравнадзор в момент регистрации.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Объектом настоящей закупки является «Система эндоскопической визуализации».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письменных пояснений Заказчика, требованиям описания объекта закупки соответствует, кроме указанного Заявителем, оборудование производителя «КдсЬагё \Уо1Г СтшЫ I». В обоснование свой позиции Заказчиком представлена сравнительная таблица характеристик медицинского оборудования, в которой только частично указаны ссылки на техническую документацию оборудования; техническая документация описывает оборудование, отсутствующее в составе регистрационного удостоверения № РЗН 2016/4697 от 12.03.2018 г., на которое ссылается Заказчик, на официальном сайте Росздравнадзора. Кроме того, в материалы дела предоставлено авторизационное письмо организации, предоставившей техническую документацию в адрес Заказчика, на английском языке.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Таким образом, в материалы дела Заказчиком не представлено документального подтверждения (в том числе надлежащей технической документации, информации из реестра </w:t>
      </w:r>
      <w:r>
        <w:rPr>
          <w:color w:val="000000"/>
          <w:spacing w:val="0"/>
          <w:w w:val="100"/>
          <w:position w:val="0"/>
          <w:sz w:val="24"/>
          <w:szCs w:val="24"/>
          <w:shd w:val="clear" w:color="auto" w:fill="auto"/>
          <w:lang w:val="ru-RU" w:eastAsia="ru-RU" w:bidi="ru-RU"/>
        </w:rPr>
        <w:t>Росздравнадзора, иных документов) наличия спорных характеристик у названного Заказчиком оборудования.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Процессуальным законодательством установлено, что доказательство, признается достоверным, если в результате его проверки и исследования выясняется, что содержащиеся в нем сведения соответствуют действительности. В этих целях такой документ должен быть выполнен способом, позволяющим установить достоверность документа, и он должен быть получен в установленном процессуальным законодательством порядке. Получение информации о наличии определенных характеристик у спорного товара не подтверждено. Следовательно, выборка произведена ненадлежащим образом и не может служить подтверждением наличия товаров, являющихся объектом закупки, у иных производителей.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Учитывая изложенное, материалы настоящего дела не содержат документов и сведений, подтверждающих соответствие товара, являющегося объектом настоящей закупки, иному производителю, кроме указанного в жалобе.</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Следовательно, описание объекта закупки не соответствует ст. 33 Закона, в нарушение п. 1 ч. 2 ст. 42 Закона. Ввиду изложенного, Комиссия признает довод жалобы Заявителя - обоснованным.</w:t>
      </w:r>
    </w:p>
    <w:p>
      <w:pPr>
        <w:pStyle w:val="Style9"/>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рассмотрения дела в действиях Заказчика установлено нарушение ч. 3 ст. 14 Закона.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 3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2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 101 Перечня включена радиоэлектронная продукция (ОКПД2): 26.60.12.119 Аппараты электродиагностические прочие.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Заказчик указал код позиции КТРУ: 26.60.12.119-00000374 «Система эндоскопической визуализации». Согласно общей информации позиции Каталога, код ОКПД2 данного товара: 26.60.12.119: Аппараты электродиагностические прочие.</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Следовательно, оборудование, требуемое к поставке по итогам закупки, включено в Перечень. Вместе с тем, в Извещении Заказчиком не установлено ограничение допуска товаров в соответствии с Постановлением № 878, в нарушение ч. 3 ст. 14 Закона.</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г. № 728, в соответствии со ст.ст. 99,106 Закона,</w:t>
      </w:r>
    </w:p>
    <w:p>
      <w:pPr>
        <w:pStyle w:val="Style9"/>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9"/>
        <w:keepNext w:val="0"/>
        <w:keepLines w:val="0"/>
        <w:widowControl w:val="0"/>
        <w:numPr>
          <w:ilvl w:val="0"/>
          <w:numId w:val="5"/>
        </w:numPr>
        <w:shd w:val="clear" w:color="auto" w:fill="auto"/>
        <w:tabs>
          <w:tab w:pos="105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«Апгрейт» обоснованной.</w:t>
      </w:r>
    </w:p>
    <w:p>
      <w:pPr>
        <w:pStyle w:val="Style9"/>
        <w:keepNext w:val="0"/>
        <w:keepLines w:val="0"/>
        <w:widowControl w:val="0"/>
        <w:numPr>
          <w:ilvl w:val="0"/>
          <w:numId w:val="5"/>
        </w:numPr>
        <w:shd w:val="clear" w:color="auto" w:fill="auto"/>
        <w:tabs>
          <w:tab w:pos="107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ч. 3 ст. 14, ч. 2 ст. 42 Закона.</w:t>
      </w:r>
    </w:p>
    <w:p>
      <w:pPr>
        <w:pStyle w:val="Style9"/>
        <w:keepNext w:val="0"/>
        <w:keepLines w:val="0"/>
        <w:widowControl w:val="0"/>
        <w:numPr>
          <w:ilvl w:val="0"/>
          <w:numId w:val="5"/>
        </w:numPr>
        <w:shd w:val="clear" w:color="auto" w:fill="auto"/>
        <w:tabs>
          <w:tab w:pos="106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обязательное для исполнения предписание об устранении допущенных нарушений путем отмены сформированного протокола, внесения изменений в извещение и продления срока подачи заявок.</w:t>
      </w:r>
    </w:p>
    <w:p>
      <w:pPr>
        <w:pStyle w:val="Style9"/>
        <w:keepNext w:val="0"/>
        <w:keepLines w:val="0"/>
        <w:widowControl w:val="0"/>
        <w:numPr>
          <w:ilvl w:val="0"/>
          <w:numId w:val="5"/>
        </w:numPr>
        <w:shd w:val="clear" w:color="auto" w:fill="auto"/>
        <w:tabs>
          <w:tab w:pos="1069" w:val="left"/>
        </w:tabs>
        <w:bidi w:val="0"/>
        <w:spacing w:before="0" w:after="320" w:line="240" w:lineRule="auto"/>
        <w:ind w:left="0" w:right="0" w:firstLine="720"/>
        <w:jc w:val="both"/>
      </w:pPr>
      <w:r>
        <w:rPr>
          <w:color w:val="000000"/>
          <w:spacing w:val="0"/>
          <w:w w:val="100"/>
          <w:position w:val="0"/>
          <w:sz w:val="24"/>
          <w:szCs w:val="24"/>
          <w:shd w:val="clear" w:color="auto" w:fill="auto"/>
          <w:lang w:val="ru-RU" w:eastAsia="ru-RU" w:bidi="ru-RU"/>
        </w:rPr>
        <w:t>Рассмотреть вопрос о привлечении виновного должностного лица Заказчика к административной ответственности.</w:t>
      </w:r>
    </w:p>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tbl>
      <w:tblPr>
        <w:tblOverlap w:val="never"/>
        <w:jc w:val="center"/>
        <w:tblLayout w:type="fixed"/>
      </w:tblPr>
      <w:tblGrid>
        <w:gridCol w:w="2899"/>
        <w:gridCol w:w="4133"/>
        <w:gridCol w:w="3134"/>
      </w:tblGrid>
      <w:tr>
        <w:trPr>
          <w:trHeight w:val="1310" w:hRule="exact"/>
        </w:trPr>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bottom"/>
          </w:tcPr>
          <w:p>
            <w:pPr>
              <w:pStyle w:val="Style20"/>
              <w:keepNext w:val="0"/>
              <w:keepLines w:val="0"/>
              <w:widowControl w:val="0"/>
              <w:shd w:val="clear" w:color="auto" w:fill="auto"/>
              <w:bidi w:val="0"/>
              <w:spacing w:before="0" w:after="0" w:line="391" w:lineRule="auto"/>
              <w:ind w:left="440" w:right="0" w:firstLine="0"/>
              <w:jc w:val="left"/>
              <w:rPr>
                <w:sz w:val="22"/>
                <w:szCs w:val="22"/>
              </w:rPr>
            </w:pPr>
            <w:r>
              <w:rPr>
                <w:rFonts w:ascii="Arial" w:eastAsia="Arial" w:hAnsi="Arial" w:cs="Arial"/>
                <w:b/>
                <w:bCs/>
                <w:color w:val="898888"/>
                <w:spacing w:val="0"/>
                <w:w w:val="100"/>
                <w:position w:val="0"/>
                <w:sz w:val="22"/>
                <w:szCs w:val="22"/>
                <w:shd w:val="clear" w:color="auto" w:fill="auto"/>
                <w:lang w:val="ru-RU" w:eastAsia="ru-RU" w:bidi="ru-RU"/>
              </w:rPr>
              <w:t xml:space="preserve">Место дня подписи: </w:t>
            </w:r>
            <w:r>
              <w:rPr>
                <w:rFonts w:ascii="Arial" w:eastAsia="Arial" w:hAnsi="Arial" w:cs="Arial"/>
                <w:b/>
                <w:bCs/>
                <w:color w:val="898888"/>
                <w:spacing w:val="0"/>
                <w:w w:val="100"/>
                <w:position w:val="0"/>
                <w:sz w:val="22"/>
                <w:szCs w:val="22"/>
                <w:shd w:val="clear" w:color="auto" w:fill="auto"/>
                <w:lang w:val="ru-RU" w:eastAsia="ru-RU" w:bidi="ru-RU"/>
              </w:rPr>
              <w:t>Бнагодарав М. А.</w:t>
            </w:r>
          </w:p>
        </w:tc>
        <w:tc>
          <w:tcPr>
            <w:tcBorders/>
            <w:shd w:val="clear" w:color="auto" w:fill="auto"/>
            <w:vAlign w:val="top"/>
          </w:tcPr>
          <w:p>
            <w:pPr>
              <w:pStyle w:val="Style20"/>
              <w:keepNext w:val="0"/>
              <w:keepLines w:val="0"/>
              <w:widowControl w:val="0"/>
              <w:shd w:val="clear" w:color="auto" w:fill="auto"/>
              <w:bidi w:val="0"/>
              <w:spacing w:before="200" w:after="0" w:line="240" w:lineRule="auto"/>
              <w:ind w:left="0" w:right="0" w:firstLine="0"/>
              <w:jc w:val="right"/>
            </w:pPr>
            <w:r>
              <w:rPr>
                <w:color w:val="000000"/>
                <w:spacing w:val="0"/>
                <w:w w:val="100"/>
                <w:position w:val="0"/>
                <w:sz w:val="24"/>
                <w:szCs w:val="24"/>
                <w:shd w:val="clear" w:color="auto" w:fill="auto"/>
                <w:lang w:val="ru-RU" w:eastAsia="ru-RU" w:bidi="ru-RU"/>
              </w:rPr>
              <w:t>М.А. Благодарев</w:t>
            </w:r>
          </w:p>
        </w:tc>
      </w:tr>
      <w:tr>
        <w:trPr>
          <w:trHeight w:val="1330" w:hRule="exact"/>
        </w:trPr>
        <w:tc>
          <w:tcPr>
            <w:tcBorders/>
            <w:shd w:val="clear" w:color="auto" w:fill="auto"/>
            <w:vAlign w:val="top"/>
          </w:tcPr>
          <w:p>
            <w:pPr>
              <w:pStyle w:val="Style20"/>
              <w:keepNext w:val="0"/>
              <w:keepLines w:val="0"/>
              <w:widowControl w:val="0"/>
              <w:shd w:val="clear" w:color="auto" w:fill="auto"/>
              <w:bidi w:val="0"/>
              <w:spacing w:before="10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440"/>
              <w:jc w:val="left"/>
              <w:rPr>
                <w:sz w:val="22"/>
                <w:szCs w:val="22"/>
              </w:rPr>
            </w:pPr>
            <w:r>
              <w:rPr>
                <w:rFonts w:ascii="Arial" w:eastAsia="Arial" w:hAnsi="Arial" w:cs="Arial"/>
                <w:b/>
                <w:bCs/>
                <w:color w:val="898888"/>
                <w:spacing w:val="0"/>
                <w:w w:val="100"/>
                <w:position w:val="0"/>
                <w:sz w:val="22"/>
                <w:szCs w:val="22"/>
                <w:shd w:val="clear" w:color="auto" w:fill="auto"/>
                <w:lang w:val="ru-RU" w:eastAsia="ru-RU" w:bidi="ru-RU"/>
              </w:rPr>
              <w:t>Место для подписи:</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1400" w:right="0" w:firstLine="0"/>
              <w:jc w:val="left"/>
            </w:pPr>
            <w:r>
              <w:rPr>
                <w:color w:val="000000"/>
                <w:spacing w:val="0"/>
                <w:w w:val="100"/>
                <w:position w:val="0"/>
                <w:sz w:val="24"/>
                <w:szCs w:val="24"/>
                <w:shd w:val="clear" w:color="auto" w:fill="auto"/>
                <w:lang w:val="ru-RU" w:eastAsia="ru-RU" w:bidi="ru-RU"/>
              </w:rPr>
              <w:t>А.С. Вишнякова</w:t>
            </w:r>
          </w:p>
        </w:tc>
      </w:tr>
      <w:tr>
        <w:trPr>
          <w:trHeight w:val="1440" w:hRule="exact"/>
        </w:trPr>
        <w:tc>
          <w:tcPr>
            <w:tcBorders/>
            <w:shd w:val="clear" w:color="auto" w:fill="auto"/>
            <w:vAlign w:val="top"/>
          </w:tcPr>
          <w:p>
            <w:pPr>
              <w:widowControl w:val="0"/>
              <w:rPr>
                <w:sz w:val="10"/>
                <w:szCs w:val="10"/>
              </w:rPr>
            </w:pPr>
          </w:p>
        </w:tc>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440"/>
              <w:jc w:val="left"/>
              <w:rPr>
                <w:sz w:val="22"/>
                <w:szCs w:val="22"/>
              </w:rPr>
            </w:pPr>
            <w:r>
              <w:rPr>
                <w:rFonts w:ascii="Arial" w:eastAsia="Arial" w:hAnsi="Arial" w:cs="Arial"/>
                <w:b/>
                <w:bCs/>
                <w:color w:val="898888"/>
                <w:spacing w:val="0"/>
                <w:w w:val="100"/>
                <w:position w:val="0"/>
                <w:sz w:val="22"/>
                <w:szCs w:val="22"/>
                <w:shd w:val="clear" w:color="auto" w:fill="auto"/>
                <w:lang w:val="ru-RU" w:eastAsia="ru-RU" w:bidi="ru-RU"/>
              </w:rPr>
              <w:t>Вишнякова А. С.</w:t>
            </w:r>
          </w:p>
        </w:tc>
        <w:tc>
          <w:tcPr>
            <w:tcBorders/>
            <w:shd w:val="clear" w:color="auto" w:fill="auto"/>
            <w:vAlign w:val="bottom"/>
          </w:tcPr>
          <w:p>
            <w:pPr>
              <w:pStyle w:val="Style20"/>
              <w:keepNext w:val="0"/>
              <w:keepLines w:val="0"/>
              <w:widowControl w:val="0"/>
              <w:shd w:val="clear" w:color="auto" w:fill="auto"/>
              <w:bidi w:val="0"/>
              <w:spacing w:before="0" w:after="0" w:line="240" w:lineRule="auto"/>
              <w:ind w:left="1400" w:right="0" w:firstLine="0"/>
              <w:jc w:val="left"/>
            </w:pPr>
            <w:r>
              <w:rPr>
                <w:color w:val="000000"/>
                <w:spacing w:val="0"/>
                <w:w w:val="100"/>
                <w:position w:val="0"/>
                <w:sz w:val="24"/>
                <w:szCs w:val="24"/>
                <w:shd w:val="clear" w:color="auto" w:fill="auto"/>
                <w:lang w:val="ru-RU" w:eastAsia="ru-RU" w:bidi="ru-RU"/>
              </w:rPr>
              <w:t>А.А. Михарская</w:t>
            </w:r>
          </w:p>
        </w:tc>
      </w:tr>
      <w:tr>
        <w:trPr>
          <w:trHeight w:val="883"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0"/>
              <w:keepNext w:val="0"/>
              <w:keepLines w:val="0"/>
              <w:widowControl w:val="0"/>
              <w:shd w:val="clear" w:color="auto" w:fill="auto"/>
              <w:bidi w:val="0"/>
              <w:spacing w:before="0" w:after="0" w:line="391" w:lineRule="auto"/>
              <w:ind w:left="440" w:right="0" w:firstLine="0"/>
              <w:jc w:val="left"/>
              <w:rPr>
                <w:sz w:val="22"/>
                <w:szCs w:val="22"/>
              </w:rPr>
            </w:pPr>
            <w:r>
              <w:rPr>
                <w:rFonts w:ascii="Arial" w:eastAsia="Arial" w:hAnsi="Arial" w:cs="Arial"/>
                <w:b/>
                <w:bCs/>
                <w:color w:val="898888"/>
                <w:spacing w:val="0"/>
                <w:w w:val="100"/>
                <w:position w:val="0"/>
                <w:sz w:val="22"/>
                <w:szCs w:val="22"/>
                <w:shd w:val="clear" w:color="auto" w:fill="auto"/>
                <w:lang w:val="ru-RU" w:eastAsia="ru-RU" w:bidi="ru-RU"/>
              </w:rPr>
              <w:t>Мест ди подписи:</w:t>
            </w:r>
            <w:r>
              <w:rPr>
                <w:rFonts w:ascii="Arial" w:eastAsia="Arial" w:hAnsi="Arial" w:cs="Arial"/>
                <w:b/>
                <w:bCs/>
                <w:color w:val="898888"/>
                <w:spacing w:val="0"/>
                <w:w w:val="100"/>
                <w:position w:val="0"/>
                <w:sz w:val="22"/>
                <w:szCs w:val="22"/>
                <w:shd w:val="clear" w:color="auto" w:fill="auto"/>
                <w:lang w:val="ru-RU" w:eastAsia="ru-RU" w:bidi="ru-RU"/>
              </w:rPr>
              <w:t xml:space="preserve"> Михарскаи А. А.</w:t>
            </w:r>
          </w:p>
        </w:tc>
        <w:tc>
          <w:tcPr>
            <w:tcBorders/>
            <w:shd w:val="clear" w:color="auto" w:fill="auto"/>
            <w:vAlign w:val="top"/>
          </w:tcPr>
          <w:p>
            <w:pPr>
              <w:widowControl w:val="0"/>
              <w:rPr>
                <w:sz w:val="10"/>
                <w:szCs w:val="10"/>
              </w:rPr>
            </w:pPr>
          </w:p>
        </w:tc>
      </w:tr>
    </w:tbl>
    <w:p>
      <w:pPr>
        <w:widowControl w:val="0"/>
        <w:spacing w:after="5079" w:line="1" w:lineRule="exact"/>
      </w:pPr>
    </w:p>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Исп.Михарская А.А.</w:t>
      </w:r>
    </w:p>
    <w:p>
      <w:pPr>
        <w:pStyle w:val="Style9"/>
        <w:keepNext w:val="0"/>
        <w:keepLines w:val="0"/>
        <w:widowControl w:val="0"/>
        <w:shd w:val="clear" w:color="auto" w:fill="auto"/>
        <w:bidi w:val="0"/>
        <w:spacing w:before="0" w:after="32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240-86-88, вн.061-139</w:t>
      </w:r>
    </w:p>
    <w:sectPr>
      <w:footerReference w:type="default" r:id="rId11"/>
      <w:footerReference w:type="first" r:id="rId12"/>
      <w:footnotePr>
        <w:pos w:val="pageBottom"/>
        <w:numFmt w:val="decimal"/>
        <w:numRestart w:val="continuous"/>
      </w:footnotePr>
      <w:pgSz w:w="11900" w:h="16840"/>
      <w:pgMar w:top="1027" w:right="533" w:bottom="1195" w:left="1100"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9998710</wp:posOffset>
              </wp:positionV>
              <wp:extent cx="572770" cy="100330"/>
              <wp:wrapNone/>
              <wp:docPr id="11" name="Shape 1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2024-569</w:t>
                          </w:r>
                        </w:p>
                      </w:txbxContent>
                    </wps:txbx>
                    <wps:bodyPr wrap="none" lIns="0" tIns="0" rIns="0" bIns="0">
                      <a:spAutoFit/>
                    </wps:bodyPr>
                  </wps:wsp>
                </a:graphicData>
              </a:graphic>
            </wp:anchor>
          </w:drawing>
        </mc:Choice>
        <mc:Fallback>
          <w:pict>
            <v:shape id="_x0000_s1037" type="#_x0000_t202" style="position:absolute;margin-left:57.050000000000004pt;margin-top:787.30000000000007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2024-569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9998710</wp:posOffset>
              </wp:positionV>
              <wp:extent cx="572770" cy="100330"/>
              <wp:wrapNone/>
              <wp:docPr id="13" name="Shape 1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2024-569</w:t>
                          </w:r>
                        </w:p>
                      </w:txbxContent>
                    </wps:txbx>
                    <wps:bodyPr wrap="none" lIns="0" tIns="0" rIns="0" bIns="0">
                      <a:spAutoFit/>
                    </wps:bodyPr>
                  </wps:wsp>
                </a:graphicData>
              </a:graphic>
            </wp:anchor>
          </w:drawing>
        </mc:Choice>
        <mc:Fallback>
          <w:pict>
            <v:shape id="_x0000_s1039" type="#_x0000_t202" style="position:absolute;margin-left:57.149999999999999pt;margin-top:787.30000000000007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2024-569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561A3"/>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8"/>
      <w:szCs w:val="38"/>
      <w:u w:val="none"/>
    </w:rPr>
  </w:style>
  <w:style w:type="character" w:customStyle="1" w:styleId="CharStyle19">
    <w:name w:val="Подпись к таблице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7">
    <w:name w:val="Подпись к картинке"/>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color w:val="4561A3"/>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spacing w:after="240"/>
      <w:outlineLvl w:val="0"/>
    </w:pPr>
    <w:rPr>
      <w:rFonts w:ascii="Arial" w:eastAsia="Arial" w:hAnsi="Arial" w:cs="Arial"/>
      <w:b w:val="0"/>
      <w:bCs w:val="0"/>
      <w:i w:val="0"/>
      <w:iCs w:val="0"/>
      <w:smallCaps w:val="0"/>
      <w:strike w:val="0"/>
      <w:sz w:val="38"/>
      <w:szCs w:val="38"/>
      <w:u w:val="none"/>
    </w:rPr>
  </w:style>
  <w:style w:type="paragraph" w:customStyle="1" w:styleId="Style18">
    <w:name w:val="Подпись к таблице"/>
    <w:basedOn w:val="Normal"/>
    <w:link w:val="CharStyle19"/>
    <w:pPr>
      <w:widowControl w:val="0"/>
      <w:shd w:val="clear" w:color="auto" w:fill="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