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9"/>
        <w:keepNext w:val="0"/>
        <w:keepLines w:val="0"/>
        <w:widowControl w:val="0"/>
        <w:shd w:val="clear" w:color="auto" w:fill="auto"/>
        <w:tabs>
          <w:tab w:pos="1814" w:val="left"/>
          <w:tab w:pos="2530" w:val="left"/>
        </w:tabs>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1046/24</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ФКУ «ЦГИЖБО ФСИН России»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хакирИ220011@тай.гн</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Журавлева А.Ю.</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еК§1970@тЪох.ги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«Сбербанк - АСТ»</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525" w:bottom="621" w:left="1303" w:header="0" w:footer="3" w:gutter="0"/>
          <w:pgNumType w:start="1"/>
          <w:cols w:num="2" w:space="1133"/>
          <w:noEndnote/>
          <w:titlePg/>
          <w:rtlGutter w:val="0"/>
          <w:docGrid w:linePitch="360"/>
        </w:sectPr>
      </w:pPr>
      <w:r>
        <w:rPr>
          <w:color w:val="000000"/>
          <w:spacing w:val="0"/>
          <w:w w:val="100"/>
          <w:position w:val="0"/>
          <w:shd w:val="clear" w:color="auto" w:fill="auto"/>
          <w:lang w:val="ru-RU" w:eastAsia="ru-RU" w:bidi="ru-RU"/>
        </w:rPr>
        <w:t>т16@8ЪегЪапк-а81;.ги</w:t>
      </w: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94" w:right="0" w:bottom="526" w:left="0" w:header="0" w:footer="3" w:gutter="0"/>
          <w:cols w:space="720"/>
          <w:noEndnote/>
          <w:rtlGutter w:val="0"/>
          <w:docGrid w:linePitch="360"/>
        </w:sectPr>
      </w:pPr>
    </w:p>
    <w:p>
      <w:pPr>
        <w:pStyle w:val="Style9"/>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по делу №077/06/106-425/2024 о нарушении</w:t>
        <w:br/>
        <w:t>законодательства о контрактной системе</w:t>
      </w:r>
    </w:p>
    <w:p>
      <w:pPr>
        <w:pStyle w:val="Style14"/>
        <w:keepNext/>
        <w:keepLines/>
        <w:widowControl w:val="0"/>
        <w:shd w:val="clear" w:color="auto" w:fill="auto"/>
        <w:tabs>
          <w:tab w:pos="8376" w:val="left"/>
        </w:tabs>
        <w:bidi w:val="0"/>
        <w:spacing w:before="0" w:after="0"/>
        <w:ind w:left="0" w:right="0" w:firstLine="0"/>
        <w:jc w:val="left"/>
      </w:pPr>
      <w:bookmarkStart w:id="2" w:name="bookmark2"/>
      <w:r>
        <w:rPr>
          <w:color w:val="000000"/>
          <w:spacing w:val="0"/>
          <w:w w:val="100"/>
          <w:position w:val="0"/>
          <w:shd w:val="clear" w:color="auto" w:fill="auto"/>
          <w:lang w:val="ru-RU" w:eastAsia="ru-RU" w:bidi="ru-RU"/>
        </w:rPr>
        <w:t>10.01.2024</w:t>
        <w:tab/>
        <w:t>г. Москва</w:t>
      </w:r>
      <w:bookmarkEnd w:id="2"/>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при участии представителей </w:t>
      </w:r>
      <w:r>
        <w:rPr>
          <w:color w:val="000000"/>
          <w:spacing w:val="0"/>
          <w:w w:val="100"/>
          <w:position w:val="0"/>
          <w:shd w:val="clear" w:color="auto" w:fill="auto"/>
          <w:lang w:val="ru-RU" w:eastAsia="ru-RU" w:bidi="ru-RU"/>
        </w:rPr>
        <w:t xml:space="preserve">ФКУ ЦГИЖБО ФСИН России: </w:t>
      </w:r>
      <w:r>
        <w:rPr>
          <w:color w:val="000000"/>
          <w:spacing w:val="0"/>
          <w:w w:val="100"/>
          <w:position w:val="0"/>
          <w:shd w:val="clear" w:color="auto" w:fill="auto"/>
          <w:lang w:val="ru-RU" w:eastAsia="ru-RU" w:bidi="ru-RU"/>
        </w:rPr>
        <w:t>Казакевича А.Н. (дов.№исх41-/12-3580 от 07.11.2023), Лукомского Г.В. (дов.№исх. 41/12 -358 от 07.11.2023),</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ИП Журавлева А.Ю.,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9"/>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 xml:space="preserve">рассмотрев жалобу ИП Журавлева А.Ю. (далее — Заявитель) на действия </w:t>
      </w:r>
      <w:r>
        <w:rPr>
          <w:color w:val="000000"/>
          <w:spacing w:val="0"/>
          <w:w w:val="100"/>
          <w:position w:val="0"/>
          <w:shd w:val="clear" w:color="auto" w:fill="auto"/>
          <w:lang w:val="ru-RU" w:eastAsia="ru-RU" w:bidi="ru-RU"/>
        </w:rPr>
        <w:t xml:space="preserve">ФКУ ЦГИЖБО ФСИН России </w:t>
      </w:r>
      <w:r>
        <w:rPr>
          <w:color w:val="000000"/>
          <w:spacing w:val="0"/>
          <w:w w:val="100"/>
          <w:position w:val="0"/>
          <w:shd w:val="clear" w:color="auto" w:fill="auto"/>
          <w:lang w:val="ru-RU" w:eastAsia="ru-RU" w:bidi="ru-RU"/>
        </w:rPr>
        <w:t>(далее — Заказчик) при проведении электронного аукциона на право заключения государственного контракта на оказание услуг по проведению технического обслуживания и ремонта, а также поддержания эксплуатационных свойств работоспособности климатических систем в административных зданиях ФСИН России и подразделениях, непосредственно подчиненных ФСИН России по</w:t>
      </w:r>
    </w:p>
    <w:p>
      <w:pPr>
        <w:pStyle w:val="Style17"/>
        <w:keepNext w:val="0"/>
        <w:keepLines w:val="0"/>
        <w:widowControl w:val="0"/>
        <w:shd w:val="clear" w:color="auto" w:fill="auto"/>
        <w:bidi w:val="0"/>
        <w:spacing w:before="0" w:after="240" w:line="240" w:lineRule="auto"/>
        <w:ind w:left="0" w:right="0"/>
        <w:jc w:val="left"/>
        <w:rPr>
          <w:sz w:val="28"/>
          <w:szCs w:val="28"/>
        </w:rPr>
      </w:pPr>
      <w:r>
        <w:rPr>
          <w:color w:val="000000"/>
          <w:spacing w:val="0"/>
          <w:w w:val="100"/>
          <w:position w:val="0"/>
          <w:sz w:val="34"/>
          <w:szCs w:val="34"/>
          <w:shd w:val="clear" w:color="auto" w:fill="auto"/>
          <w:lang w:val="ru-RU" w:eastAsia="ru-RU" w:bidi="ru-RU"/>
        </w:rPr>
        <w:t xml:space="preserve">|||||||||||||||||||||||||||| </w:t>
      </w:r>
      <w:r>
        <w:rPr>
          <w:rStyle w:val="CharStyle10"/>
        </w:rPr>
        <w:t>адресам: г. Москва, Дмитровское шоссе, д. 71; г. Москва, ул. Житная, д.14, стр.1 (этажи № 1,3,9,10,1112,13) г. Москва, ул. Садовая-Сухаревская, д. 11,стр.1; г. Москва, Кронштадтский бульвар, д. 20а, корп. 7; г. Москва, ул. Нарвская, д.15а, стр.1 модульное здание, стр. 8 (Закупка №0373100065123000235)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300" w:line="254"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numPr>
          <w:ilvl w:val="0"/>
          <w:numId w:val="1"/>
        </w:numPr>
        <w:shd w:val="clear" w:color="auto" w:fill="auto"/>
        <w:tabs>
          <w:tab w:pos="117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проект контракта, размещенный Заказчиком в единой информационной системе в рамках процедуры заключения контракта, сформирован не на условиях извещения в части стоимости контракта.</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п.9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начальной (максимальной) цене контракта (цене отдельных этапов исполнения контракта, если проектом контракта предусмотрены такие этапы), источнике финансирования, наименование валюты в соответствии с общероссийским классификатором валют. В случае, предусмотренном ч.24 ст.22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ч.2 ст.34 Закона о контрактной системе, указываются ориентировочное значение цены контракта либо формула цены и максимальное значение цены контракта.</w:t>
      </w:r>
    </w:p>
    <w:p>
      <w:pPr>
        <w:pStyle w:val="Style9"/>
        <w:keepNext w:val="0"/>
        <w:keepLines w:val="0"/>
        <w:widowControl w:val="0"/>
        <w:shd w:val="clear" w:color="auto" w:fill="auto"/>
        <w:bidi w:val="0"/>
        <w:spacing w:before="0" w:after="260" w:line="259" w:lineRule="auto"/>
        <w:ind w:left="0" w:right="0" w:firstLine="700"/>
        <w:jc w:val="both"/>
        <w:rPr>
          <w:sz w:val="22"/>
          <w:szCs w:val="22"/>
        </w:rPr>
        <w:sectPr>
          <w:footnotePr>
            <w:pos w:val="pageBottom"/>
            <w:numFmt w:val="decimal"/>
            <w:numRestart w:val="continuous"/>
          </w:footnotePr>
          <w:type w:val="continuous"/>
          <w:pgSz w:w="11900" w:h="16840"/>
          <w:pgMar w:top="594" w:right="537" w:bottom="526" w:left="1105"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ч.24 ст.22 Закона о контрактной системе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ст.19 Закона о контрактной системе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w:t>
      </w:r>
      <w:r>
        <w:rPr>
          <w:rFonts w:ascii="Cambria" w:eastAsia="Cambria" w:hAnsi="Cambria" w:cs="Cambria"/>
          <w:color w:val="000000"/>
          <w:spacing w:val="0"/>
          <w:w w:val="100"/>
          <w:position w:val="0"/>
          <w:sz w:val="22"/>
          <w:szCs w:val="22"/>
          <w:shd w:val="clear" w:color="auto" w:fill="auto"/>
          <w:lang w:val="ru-RU" w:eastAsia="ru-RU" w:bidi="ru-RU"/>
        </w:rPr>
        <w:t>2024-1341</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соответствии с настоящей статьей цену единицы товара, работы, услуги. При этом положения Закона о контрактной системе,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о контрактной системе не установлено иное.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закупка проводится с учётом ч.24 ст.22 Закона о контрактной системе, максимальное значение цены контракта установленное Заказчиком составляет 1 915 000,00 руб, при этом начальная цена единицы товара, работы, услуги и начальная сумма цен единиц товара, работы, услуги также определены Заказчиком как 1 915 000,00 руб.</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13.12.2023 №ИЭА1 заявка Заявителя, с идентификационным номером 224, признана соответствующей требованиям извещения, при этом ИП Журавлева А.Ю. признан победителем конкурентной процедуры с предложением суммы цен единиц товара, работы, услуги 421 583,29 руб.</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 ст.34 Закона о контрактной системе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ч.24 ст.22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документации о закупке (в случае, если Законом о контрактной системе предусмотрена документация о закупке). 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пп.«а» п.2 ч.6 ст.51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ст.51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ч.1 ст.51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п.5 ч.2 ст.42 Закона о контрактной системе, который должен содержать:</w:t>
      </w:r>
    </w:p>
    <w:p>
      <w:pPr>
        <w:pStyle w:val="Style9"/>
        <w:keepNext w:val="0"/>
        <w:keepLines w:val="0"/>
        <w:widowControl w:val="0"/>
        <w:numPr>
          <w:ilvl w:val="0"/>
          <w:numId w:val="3"/>
        </w:numPr>
        <w:shd w:val="clear" w:color="auto" w:fill="auto"/>
        <w:tabs>
          <w:tab w:pos="1023" w:val="left"/>
        </w:tabs>
        <w:bidi w:val="0"/>
        <w:spacing w:before="0" w:after="0"/>
        <w:ind w:left="0" w:right="0" w:firstLine="700"/>
        <w:jc w:val="both"/>
      </w:pPr>
      <w:r>
        <w:rPr>
          <w:color w:val="000000"/>
          <w:spacing w:val="0"/>
          <w:w w:val="100"/>
          <w:position w:val="0"/>
          <w:shd w:val="clear" w:color="auto" w:fill="auto"/>
          <w:lang w:val="ru-RU" w:eastAsia="ru-RU" w:bidi="ru-RU"/>
        </w:rPr>
        <w:t>информацию, предусмотренную ч.6 ст.30 Закона о контрактной системе, п.1, 2, 5 - 8, 10, 17, 18 и 20 ч.1 ст.42 Закона о контрактной системе;</w:t>
      </w:r>
    </w:p>
    <w:p>
      <w:pPr>
        <w:pStyle w:val="Style9"/>
        <w:keepNext w:val="0"/>
        <w:keepLines w:val="0"/>
        <w:widowControl w:val="0"/>
        <w:numPr>
          <w:ilvl w:val="0"/>
          <w:numId w:val="3"/>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ст.14 настоящего Федерального закона, положений ст.28 и 29 Закона о контрактной системе, цену каждого отдельного этапа исполнения контракта, определенную в соответствии с ч.2 ст.34 Закона о контрактной системе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пп.«в» или «г» п.1 ч.2 ст.51 Закона о контрактной системе;</w:t>
      </w:r>
    </w:p>
    <w:p>
      <w:pPr>
        <w:pStyle w:val="Style9"/>
        <w:keepNext w:val="0"/>
        <w:keepLines w:val="0"/>
        <w:widowControl w:val="0"/>
        <w:numPr>
          <w:ilvl w:val="0"/>
          <w:numId w:val="3"/>
        </w:numPr>
        <w:shd w:val="clear" w:color="auto" w:fill="auto"/>
        <w:tabs>
          <w:tab w:pos="1033" w:val="left"/>
        </w:tabs>
        <w:bidi w:val="0"/>
        <w:spacing w:before="0" w:after="0"/>
        <w:ind w:left="0" w:right="0" w:firstLine="700"/>
        <w:jc w:val="both"/>
      </w:pPr>
      <w:r>
        <w:rPr>
          <w:color w:val="000000"/>
          <w:spacing w:val="0"/>
          <w:w w:val="100"/>
          <w:position w:val="0"/>
          <w:shd w:val="clear" w:color="auto" w:fill="auto"/>
          <w:lang w:val="ru-RU" w:eastAsia="ru-RU" w:bidi="ru-RU"/>
        </w:rPr>
        <w:t xml:space="preserve">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ст.14 Закона о контрактной системе, положений ст.28 и 29 Закона о контрактной системе (в случае, предусмотренном ч.24 ст.22 Закона о контрактной системе). При этом цена единицы товара, работы, услуги определяется путем уменьшения начальной цены такой единицы, указанной в </w:t>
      </w:r>
      <w:r>
        <w:rPr>
          <w:color w:val="000000"/>
          <w:spacing w:val="0"/>
          <w:w w:val="100"/>
          <w:position w:val="0"/>
          <w:shd w:val="clear" w:color="auto" w:fill="auto"/>
          <w:lang w:val="ru-RU" w:eastAsia="ru-RU" w:bidi="ru-RU"/>
        </w:rPr>
        <w:t>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9"/>
        <w:keepNext w:val="0"/>
        <w:keepLines w:val="0"/>
        <w:widowControl w:val="0"/>
        <w:numPr>
          <w:ilvl w:val="0"/>
          <w:numId w:val="3"/>
        </w:numPr>
        <w:shd w:val="clear" w:color="auto" w:fill="auto"/>
        <w:tabs>
          <w:tab w:pos="1022" w:val="left"/>
        </w:tabs>
        <w:bidi w:val="0"/>
        <w:spacing w:before="0" w:after="0"/>
        <w:ind w:left="0" w:right="0" w:firstLine="700"/>
        <w:jc w:val="both"/>
      </w:pPr>
      <w:r>
        <w:rPr>
          <w:color w:val="000000"/>
          <w:spacing w:val="0"/>
          <w:w w:val="100"/>
          <w:position w:val="0"/>
          <w:shd w:val="clear" w:color="auto" w:fill="auto"/>
          <w:lang w:val="ru-RU" w:eastAsia="ru-RU" w:bidi="ru-RU"/>
        </w:rPr>
        <w:t>размер платы, подлежащей внесению в соответствии с Законом о контрактной системе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Законом о контрактной системе);</w:t>
      </w:r>
    </w:p>
    <w:p>
      <w:pPr>
        <w:pStyle w:val="Style9"/>
        <w:keepNext w:val="0"/>
        <w:keepLines w:val="0"/>
        <w:widowControl w:val="0"/>
        <w:numPr>
          <w:ilvl w:val="0"/>
          <w:numId w:val="3"/>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информацию, предусмотренную пп.«а», «б», «г», «е» и «п» п.1, пп.«а» и «б» п.2 ч.1 ст.43 Закона о контрактной системе, а также информацию, предусмотренную пп.«г» п.2 ч.1 ст.43 Закона о контрактной системе, в случае проведения электронного конкурса. При этом информация, предусмотренная пп.«а», «б», «г» и «е» п.1 ч.1 ст.43 Закона о контрактной системе, указывается с использованием единой информационной системы по состоянию на дату и время формирования проекта контракта;</w:t>
      </w:r>
    </w:p>
    <w:p>
      <w:pPr>
        <w:pStyle w:val="Style9"/>
        <w:keepNext w:val="0"/>
        <w:keepLines w:val="0"/>
        <w:widowControl w:val="0"/>
        <w:numPr>
          <w:ilvl w:val="0"/>
          <w:numId w:val="3"/>
        </w:numPr>
        <w:shd w:val="clear" w:color="auto" w:fill="auto"/>
        <w:tabs>
          <w:tab w:pos="1722" w:val="left"/>
        </w:tabs>
        <w:bidi w:val="0"/>
        <w:spacing w:before="0" w:after="0"/>
        <w:ind w:left="0" w:right="0" w:firstLine="700"/>
        <w:jc w:val="both"/>
      </w:pPr>
      <w:r>
        <w:rPr>
          <w:color w:val="000000"/>
          <w:spacing w:val="0"/>
          <w:w w:val="100"/>
          <w:position w:val="0"/>
          <w:shd w:val="clear" w:color="auto" w:fill="auto"/>
          <w:lang w:val="ru-RU" w:eastAsia="ru-RU" w:bidi="ru-RU"/>
        </w:rPr>
        <w:t>иные документы (при наличии).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проект контракта, размещенный Заказчиком в единой информационной системе в соответствии с ч.2 ст.52 Закона о контрактной системе, содержит в том числе следующее положение: «4.1. Цена контракта составляет 421 583 (четыреста двадцать одна тысяча пятьсот восемьдесят три) рубля 29 копеек, НДС не облагается и включает в себя стоимость Услуг, стоимость материалов и оборудования, используемых Исполнителем при оказании Услуг, стоимость аварийных работ, расходы на перевозку, страхование, уплату таможенных пошлин, налогов, сборов и других обязательных платежей, взимаемых с Исполнителя в связи с исполнением обязательств по Контракту. Цена Контракта является твердой и определяется на весь срок исполнения контракта, за исключением случаев, предусмотренных Законом № 44-ФЗ и пунктом 10.1. настоящего Контракта. Цена за единицу услуг в Спецификации (приложение № 2 к Контракту)».</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проект контракта, размещенный Заказчиком в соответствии с ч.2 ст.51 Закона о контрактной системе, не содержит указания на цену единицы товара, работы, услуги, соответствующие максимальному значению цены контракта.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проект контракта размещен Заказчиком не на условиях извещения.</w:t>
      </w:r>
    </w:p>
    <w:p>
      <w:pPr>
        <w:pStyle w:val="Style9"/>
        <w:keepNext w:val="0"/>
        <w:keepLines w:val="0"/>
        <w:widowControl w:val="0"/>
        <w:shd w:val="clear" w:color="auto" w:fill="auto"/>
        <w:tabs>
          <w:tab w:pos="4051" w:val="left"/>
        </w:tabs>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ч.1,2 ст.34, пп.«в» п.1 ч.2 ст.51 Закона о контрактной системе при размещении проекта контракта, предусмотренного ч.2 ст.51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w:t>
        <w:tab/>
        <w:t>ст.7.32 Кодекса Российской Федерации об</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9"/>
        <w:keepNext w:val="0"/>
        <w:keepLines w:val="0"/>
        <w:widowControl w:val="0"/>
        <w:numPr>
          <w:ilvl w:val="0"/>
          <w:numId w:val="1"/>
        </w:numPr>
        <w:shd w:val="clear" w:color="auto" w:fill="auto"/>
        <w:tabs>
          <w:tab w:pos="1176" w:val="left"/>
        </w:tabs>
        <w:bidi w:val="0"/>
        <w:spacing w:before="0" w:after="0"/>
        <w:ind w:left="0" w:right="0" w:firstLine="700"/>
        <w:jc w:val="both"/>
      </w:pPr>
      <w:r>
        <w:rPr>
          <w:color w:val="000000"/>
          <w:spacing w:val="0"/>
          <w:w w:val="100"/>
          <w:position w:val="0"/>
          <w:shd w:val="clear" w:color="auto" w:fill="auto"/>
          <w:lang w:val="ru-RU" w:eastAsia="ru-RU" w:bidi="ru-RU"/>
        </w:rPr>
        <w:t>Одновременно с этим, в рамках проведения внеплановой проверки, Комиссией Управления установлено следующее.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ч.2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ч.13 ст.34 Закона о контрактной системе в контракт включаются обязательные условия о порядке и сроках оплаты товара, работы или услуги, в том числе с учетом положений ч.13 ст.37 Закона о контрактной системе,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ст.96 Закона о контрактной системе требования обеспечения гарантийных обязательств. В случае, предусмотренном ч.24 ст.22 Закона о контрактной системе,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извещения Заказчиком размещен проект контракта, предусмотренный п.5 ч.2 ст.42 Закона о контрактной системе, однако такой проект контракта не содержит положения, предусмотренные п.1 ч.13 ст.34 Закона о контрактной системе, в частности отсутствует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w:t>
      </w:r>
    </w:p>
    <w:p>
      <w:pPr>
        <w:pStyle w:val="Style9"/>
        <w:keepNext w:val="0"/>
        <w:keepLines w:val="0"/>
        <w:widowControl w:val="0"/>
        <w:numPr>
          <w:ilvl w:val="0"/>
          <w:numId w:val="1"/>
        </w:numPr>
        <w:shd w:val="clear" w:color="auto" w:fill="auto"/>
        <w:tabs>
          <w:tab w:pos="1176" w:val="left"/>
          <w:tab w:leader="underscore" w:pos="3384" w:val="left"/>
        </w:tabs>
        <w:bidi w:val="0"/>
        <w:spacing w:before="0" w:after="0"/>
        <w:ind w:left="0" w:right="0" w:firstLine="700"/>
        <w:jc w:val="both"/>
      </w:pPr>
      <w:r>
        <w:rPr>
          <w:color w:val="000000"/>
          <w:spacing w:val="0"/>
          <w:w w:val="100"/>
          <w:position w:val="0"/>
          <w:shd w:val="clear" w:color="auto" w:fill="auto"/>
          <w:lang w:val="ru-RU" w:eastAsia="ru-RU" w:bidi="ru-RU"/>
        </w:rPr>
        <w:t>к, в проекте контракта указано: «4.1. Цена контракта составляет () рублей</w:t>
        <w:tab/>
        <w:t>копейки, в том числе НДС/ НДС не облагается</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на сумму() рублей копеек и включает в себя стоимость Услуг,</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стоимость материалов и оборудования, используемых Исполнителем при оказании Услуг, стоимость аварийных работ, расходы на перевозку, страхование, уплату таможенных пошлин, налогов, сборов и других обязательных платежей, взимаемых с Исполнителя в связи с исполнением обязательств по Контракту. Цена Контракта является твердой и определяется на весь срок исполнения контракта, за исключением случаев, предусмотренных Законом № 44-ФЗ и пунктом 10.1. настоящего Контракта.Цена за единицу услуг в Спецификации (приложение № 2 к Контракту)».</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Помимо этого Комиссией Управления, исходя из положений извещения об осуществлении закупки, установлено, что максимальное значение цены контракта, начальная сумма цен товара, работы, услуги, цена за единицу закупаемой услуги идентичны друг другу.</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при формировании извещения, проекта контракта Заказчиком допущены технические ошибки, ввиду чего представитель Заказчика ходатайствовал о выдачи заказчику предписания о внесении изменений в положения извещения, для устранения допущенных ошибок.</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ч.24 ст.22, п.1 ч.13 ст.34, п.9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ст.7.32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ind w:left="0" w:right="0" w:firstLine="700"/>
        <w:jc w:val="both"/>
        <w:sectPr>
          <w:headerReference w:type="default" r:id="rId11"/>
          <w:footerReference w:type="default" r:id="rId12"/>
          <w:footnotePr>
            <w:pos w:val="pageBottom"/>
            <w:numFmt w:val="decimal"/>
            <w:numRestart w:val="continuous"/>
          </w:footnotePr>
          <w:pgSz w:w="11900" w:h="16840"/>
          <w:pgMar w:top="1162" w:right="539" w:bottom="1085" w:left="1103"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numPr>
          <w:ilvl w:val="0"/>
          <w:numId w:val="5"/>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 xml:space="preserve">Признать жалобу ИП Журавлева А.Ю. на действия </w:t>
      </w:r>
      <w:r>
        <w:rPr>
          <w:color w:val="000000"/>
          <w:spacing w:val="0"/>
          <w:w w:val="100"/>
          <w:position w:val="0"/>
          <w:shd w:val="clear" w:color="auto" w:fill="auto"/>
          <w:lang w:val="ru-RU" w:eastAsia="ru-RU" w:bidi="ru-RU"/>
        </w:rPr>
        <w:t xml:space="preserve">ФКУ ЦГИЖБО ФСИН России </w:t>
      </w:r>
      <w:r>
        <w:rPr>
          <w:color w:val="000000"/>
          <w:spacing w:val="0"/>
          <w:w w:val="100"/>
          <w:position w:val="0"/>
          <w:shd w:val="clear" w:color="auto" w:fill="auto"/>
          <w:lang w:val="ru-RU" w:eastAsia="ru-RU" w:bidi="ru-RU"/>
        </w:rPr>
        <w:t>обоснованной.</w:t>
      </w:r>
    </w:p>
    <w:p>
      <w:pPr>
        <w:pStyle w:val="Style9"/>
        <w:keepNext w:val="0"/>
        <w:keepLines w:val="0"/>
        <w:widowControl w:val="0"/>
        <w:numPr>
          <w:ilvl w:val="0"/>
          <w:numId w:val="5"/>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Заказчика нарушения ч.24 ст.22, п.1 ч.13 ст.34, п.9 ч.1 ст.42, ч.1,2 ст.34, пп.«в» п.1 ч.2 ст.51 Закона о контрактной системе.</w:t>
      </w:r>
    </w:p>
    <w:p>
      <w:pPr>
        <w:pStyle w:val="Style9"/>
        <w:keepNext w:val="0"/>
        <w:keepLines w:val="0"/>
        <w:widowControl w:val="0"/>
        <w:numPr>
          <w:ilvl w:val="0"/>
          <w:numId w:val="5"/>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5"/>
        </w:numPr>
        <w:shd w:val="clear" w:color="auto" w:fill="auto"/>
        <w:tabs>
          <w:tab w:pos="1406" w:val="left"/>
        </w:tabs>
        <w:bidi w:val="0"/>
        <w:spacing w:before="0" w:after="24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839" w:right="527" w:bottom="1594" w:left="1106" w:header="0" w:footer="3" w:gutter="0"/>
          <w:cols w:space="720"/>
          <w:noEndnote/>
          <w:rtlGutter w:val="0"/>
          <w:docGrid w:linePitch="360"/>
        </w:sectPr>
      </w:pPr>
      <w:r>
        <mc:AlternateContent>
          <mc:Choice Requires="wps">
            <w:drawing>
              <wp:anchor distT="127000" distB="167640" distL="0" distR="0" simplePos="0" relativeHeight="125829378" behindDoc="0" locked="0" layoutInCell="1" allowOverlap="1">
                <wp:simplePos x="0" y="0"/>
                <wp:positionH relativeFrom="page">
                  <wp:posOffset>735965</wp:posOffset>
                </wp:positionH>
                <wp:positionV relativeFrom="paragraph">
                  <wp:posOffset>127000</wp:posOffset>
                </wp:positionV>
                <wp:extent cx="1896110" cy="252730"/>
                <wp:wrapTopAndBottom/>
                <wp:docPr id="10" name="Shape 10"/>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950000000000003pt;margin-top:10.pt;width:149.30000000000001pt;height:19.900000000000002pt;z-index:-125829375;mso-wrap-distance-left:0;mso-wrap-distance-top:10.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mc:AlternateContent>
          <mc:Choice Requires="wps">
            <w:drawing>
              <wp:anchor distT="291465" distB="0" distL="0" distR="0" simplePos="0" relativeHeight="125829380" behindDoc="0" locked="0" layoutInCell="1" allowOverlap="1">
                <wp:simplePos x="0" y="0"/>
                <wp:positionH relativeFrom="page">
                  <wp:posOffset>3524885</wp:posOffset>
                </wp:positionH>
                <wp:positionV relativeFrom="paragraph">
                  <wp:posOffset>291465</wp:posOffset>
                </wp:positionV>
                <wp:extent cx="1725295" cy="255905"/>
                <wp:wrapTopAndBottom/>
                <wp:docPr id="12" name="Shape 1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77.55000000000001pt;margin-top:22.949999999999999pt;width:135.84999999999999pt;height:20.150000000000002pt;z-index:-125829373;mso-wrap-distance-left:0;mso-wrap-distance-top:22.949999999999999pt;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67640" distL="0" distR="0" simplePos="0" relativeHeight="125829382" behindDoc="0" locked="0" layoutInCell="1" allowOverlap="1">
                <wp:simplePos x="0" y="0"/>
                <wp:positionH relativeFrom="page">
                  <wp:posOffset>6085205</wp:posOffset>
                </wp:positionH>
                <wp:positionV relativeFrom="paragraph">
                  <wp:posOffset>127000</wp:posOffset>
                </wp:positionV>
                <wp:extent cx="1136650" cy="252730"/>
                <wp:wrapTopAndBottom/>
                <wp:docPr id="14" name="Shape 14"/>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0" type="#_x0000_t202" style="position:absolute;margin-left:479.15000000000003pt;margin-top:10.pt;width:89.5pt;height:19.900000000000002pt;z-index:-125829371;mso-wrap-distance-left:0;mso-wrap-distance-top:10.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widowControl w:val="0"/>
        <w:spacing w:line="187" w:lineRule="exact"/>
        <w:rPr>
          <w:sz w:val="15"/>
          <w:szCs w:val="15"/>
        </w:rPr>
      </w:pPr>
    </w:p>
    <w:p>
      <w:pPr>
        <w:widowControl w:val="0"/>
        <w:spacing w:line="1" w:lineRule="exact"/>
        <w:sectPr>
          <w:footnotePr>
            <w:pos w:val="pageBottom"/>
            <w:numFmt w:val="decimal"/>
            <w:numRestart w:val="continuous"/>
          </w:footnotePr>
          <w:type w:val="continuous"/>
          <w:pgSz w:w="11900" w:h="16840"/>
          <w:pgMar w:top="1839" w:right="0" w:bottom="1594" w:left="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067961ЕЕ87Е758АЕ5АСО096СЕ0АЕ9125</w:t>
      </w:r>
    </w:p>
    <w:p>
      <w:pPr>
        <w:pStyle w:val="Style24"/>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B3B3B"/>
          <w:spacing w:val="0"/>
          <w:w w:val="100"/>
          <w:position w:val="0"/>
          <w:shd w:val="clear" w:color="auto" w:fill="auto"/>
          <w:lang w:val="ru-RU" w:eastAsia="ru-RU" w:bidi="ru-RU"/>
        </w:rPr>
        <w:t xml:space="preserve">16.03.2023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08.06.2024</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839" w:right="527" w:bottom="1594" w:left="1106" w:header="0" w:footer="3" w:gutter="0"/>
          <w:cols w:space="720"/>
          <w:noEndnote/>
          <w:rtlGutter w:val="0"/>
          <w:docGrid w:linePitch="360"/>
        </w:sectPr>
      </w:pPr>
      <w:r>
        <mc:AlternateContent>
          <mc:Choice Requires="wps">
            <w:drawing>
              <wp:anchor distT="164465" distB="0" distL="0" distR="0" simplePos="0" relativeHeight="125829384" behindDoc="0" locked="0" layoutInCell="1" allowOverlap="1">
                <wp:simplePos x="0" y="0"/>
                <wp:positionH relativeFrom="page">
                  <wp:posOffset>3524885</wp:posOffset>
                </wp:positionH>
                <wp:positionV relativeFrom="paragraph">
                  <wp:posOffset>164465</wp:posOffset>
                </wp:positionV>
                <wp:extent cx="1725295" cy="255905"/>
                <wp:wrapTopAndBottom/>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7.55000000000001pt;margin-top:12.950000000000001pt;width:135.84999999999999pt;height:20.150000000000002pt;z-index:-125829369;mso-wrap-distance-left:0;mso-wrap-distance-top:12.950000000000001pt;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6" behindDoc="0" locked="0" layoutInCell="1" allowOverlap="1">
                <wp:simplePos x="0" y="0"/>
                <wp:positionH relativeFrom="page">
                  <wp:posOffset>5875020</wp:posOffset>
                </wp:positionH>
                <wp:positionV relativeFrom="paragraph">
                  <wp:posOffset>0</wp:posOffset>
                </wp:positionV>
                <wp:extent cx="1341120" cy="252730"/>
                <wp:wrapTopAndBottom/>
                <wp:docPr id="18" name="Shape 18"/>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44" type="#_x0000_t202" style="position:absolute;margin-left:462.60000000000002pt;margin-top:0;width:105.60000000000001pt;height:19.900000000000002pt;z-index:-125829367;mso-wrap-distance-left:0;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widowControl w:val="0"/>
        <w:spacing w:line="195" w:lineRule="exact"/>
        <w:rPr>
          <w:sz w:val="16"/>
          <w:szCs w:val="16"/>
        </w:rPr>
      </w:pPr>
    </w:p>
    <w:p>
      <w:pPr>
        <w:widowControl w:val="0"/>
        <w:spacing w:line="1" w:lineRule="exact"/>
        <w:sectPr>
          <w:footnotePr>
            <w:pos w:val="pageBottom"/>
            <w:numFmt w:val="decimal"/>
            <w:numRestart w:val="continuous"/>
          </w:footnotePr>
          <w:type w:val="continuous"/>
          <w:pgSz w:w="11900" w:h="16840"/>
          <w:pgMar w:top="1839" w:right="0" w:bottom="1594" w:left="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4"/>
        <w:keepNext w:val="0"/>
        <w:keepLines w:val="0"/>
        <w:widowControl w:val="0"/>
        <w:shd w:val="clear" w:color="auto" w:fill="auto"/>
        <w:bidi w:val="0"/>
        <w:spacing w:before="0" w:after="0" w:line="240" w:lineRule="auto"/>
        <w:ind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44СЕО19О689ЕВ23598ВССВЕ99Е1С6Е2С</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03.07.2024</w:t>
      </w:r>
    </w:p>
    <w:p>
      <w:pPr>
        <w:widowControl w:val="0"/>
        <w:spacing w:line="1" w:lineRule="exact"/>
        <w:sectPr>
          <w:footnotePr>
            <w:pos w:val="pageBottom"/>
            <w:numFmt w:val="decimal"/>
            <w:numRestart w:val="continuous"/>
          </w:footnotePr>
          <w:type w:val="continuous"/>
          <w:pgSz w:w="11900" w:h="16840"/>
          <w:pgMar w:top="1839" w:right="527" w:bottom="1594" w:left="1106" w:header="0" w:footer="3" w:gutter="0"/>
          <w:cols w:space="720"/>
          <w:noEndnote/>
          <w:rtlGutter w:val="0"/>
          <w:docGrid w:linePitch="360"/>
        </w:sectPr>
      </w:pPr>
      <w:r>
        <mc:AlternateContent>
          <mc:Choice Requires="wps">
            <w:drawing>
              <wp:anchor distT="440690" distB="635" distL="0" distR="0" simplePos="0" relativeHeight="125829388" behindDoc="0" locked="0" layoutInCell="1" allowOverlap="1">
                <wp:simplePos x="0" y="0"/>
                <wp:positionH relativeFrom="page">
                  <wp:posOffset>3524885</wp:posOffset>
                </wp:positionH>
                <wp:positionV relativeFrom="paragraph">
                  <wp:posOffset>440690</wp:posOffset>
                </wp:positionV>
                <wp:extent cx="1725295" cy="255905"/>
                <wp:wrapTopAndBottom/>
                <wp:docPr id="20" name="Shape 2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7.55000000000001pt;margin-top:34.700000000000003pt;width:135.84999999999999pt;height:20.150000000000002pt;z-index:-125829365;mso-wrap-distance-left:0;mso-wrap-distance-top:34.700000000000003pt;mso-wrap-distance-right:0;mso-wrap-distance-bottom:5.0000000000000003e-002pt;mso-position-horizontal-relative:page" filled="f" stroked="f">
                <v:textbox inset="0,0,0,0">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0" behindDoc="0" locked="0" layoutInCell="1" allowOverlap="1">
                <wp:simplePos x="0" y="0"/>
                <wp:positionH relativeFrom="page">
                  <wp:posOffset>5911215</wp:posOffset>
                </wp:positionH>
                <wp:positionV relativeFrom="paragraph">
                  <wp:posOffset>279400</wp:posOffset>
                </wp:positionV>
                <wp:extent cx="1310640" cy="250190"/>
                <wp:wrapTopAndBottom/>
                <wp:docPr id="22" name="Shape 22"/>
                <a:graphic xmlns:a="http://schemas.openxmlformats.org/drawingml/2006/main">
                  <a:graphicData uri="http://schemas.microsoft.com/office/word/2010/wordprocessingShape">
                    <wps:wsp>
                      <wps:cNvSpPr txBox="1"/>
                      <wps:spPr>
                        <a:xfrm>
                          <a:ext cx="131064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Е.Д. Мартьянова</w:t>
                            </w:r>
                          </w:p>
                        </w:txbxContent>
                      </wps:txbx>
                      <wps:bodyPr wrap="none" lIns="0" tIns="0" rIns="0" bIns="0">
                        <a:noAutoFit/>
                      </wps:bodyPr>
                    </wps:wsp>
                  </a:graphicData>
                </a:graphic>
              </wp:anchor>
            </w:drawing>
          </mc:Choice>
          <mc:Fallback>
            <w:pict>
              <v:shape id="_x0000_s1048" type="#_x0000_t202" style="position:absolute;margin-left:465.44999999999999pt;margin-top:22.pt;width:103.2pt;height:19.699999999999999pt;z-index:-125829363;mso-wrap-distance-left:0;mso-wrap-distance-top:22.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Е.Д. Мартьянова</w:t>
                      </w:r>
                    </w:p>
                  </w:txbxContent>
                </v:textbox>
                <w10:wrap type="topAndBottom" anchorx="page"/>
              </v:shape>
            </w:pict>
          </mc:Fallback>
        </mc:AlternateContent>
      </w:r>
    </w:p>
    <w:p>
      <w:pPr>
        <w:widowControl w:val="0"/>
        <w:spacing w:before="5" w:after="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39" w:right="0" w:bottom="1594" w:left="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Мартьянова Елена Дмитриевна</w:t>
      </w:r>
    </w:p>
    <w:p>
      <w:pPr>
        <w:pStyle w:val="Style24"/>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0092302А1Е2Е82694604ЕЕЕ772202557ЕЕ</w:t>
      </w:r>
    </w:p>
    <w:p>
      <w:pPr>
        <w:pStyle w:val="Style24"/>
        <w:keepNext w:val="0"/>
        <w:keepLines w:val="0"/>
        <w:widowControl w:val="0"/>
        <w:shd w:val="clear" w:color="auto" w:fill="auto"/>
        <w:bidi w:val="0"/>
        <w:spacing w:before="0" w:after="2460" w:line="240" w:lineRule="auto"/>
        <w:ind w:right="0" w:firstLine="0"/>
        <w:jc w:val="left"/>
      </w:pPr>
      <w:r>
        <w:rPr>
          <w:spacing w:val="0"/>
          <w:w w:val="100"/>
          <w:position w:val="0"/>
          <w:shd w:val="clear" w:color="auto" w:fill="auto"/>
          <w:lang w:val="ru-RU" w:eastAsia="ru-RU" w:bidi="ru-RU"/>
        </w:rPr>
        <w:t xml:space="preserve">Действителен </w:t>
      </w:r>
      <w:r>
        <w:rPr>
          <w:color w:val="3B3B3B"/>
          <w:spacing w:val="0"/>
          <w:w w:val="100"/>
          <w:position w:val="0"/>
          <w:shd w:val="clear" w:color="auto" w:fill="auto"/>
          <w:lang w:val="ru-RU" w:eastAsia="ru-RU" w:bidi="ru-RU"/>
        </w:rPr>
        <w:t xml:space="preserve">с 05.12.2023 </w:t>
      </w:r>
      <w:r>
        <w:rPr>
          <w:spacing w:val="0"/>
          <w:w w:val="100"/>
          <w:position w:val="0"/>
          <w:shd w:val="clear" w:color="auto" w:fill="auto"/>
          <w:lang w:val="ru-RU" w:eastAsia="ru-RU" w:bidi="ru-RU"/>
        </w:rPr>
        <w:t>по 27.02.2025</w:t>
      </w:r>
    </w:p>
    <w:p>
      <w:pPr>
        <w:pStyle w:val="Style3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839" w:right="527" w:bottom="159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636905" cy="100330"/>
              <wp:wrapNone/>
              <wp:docPr id="4" name="Shape 4"/>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2024-1341</w:t>
                          </w:r>
                        </w:p>
                      </w:txbxContent>
                    </wps:txbx>
                    <wps:bodyPr wrap="none" lIns="0" tIns="0" rIns="0" bIns="0">
                      <a:spAutoFit/>
                    </wps:bodyPr>
                  </wps:wsp>
                </a:graphicData>
              </a:graphic>
            </wp:anchor>
          </w:drawing>
        </mc:Choice>
        <mc:Fallback>
          <w:pict>
            <v:shape id="_x0000_s1030" type="#_x0000_t202" style="position:absolute;margin-left:57.pt;margin-top:804.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2024-1341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643255" cy="100330"/>
              <wp:wrapNone/>
              <wp:docPr id="8" name="Shape 8"/>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2024-1341</w:t>
                          </w:r>
                        </w:p>
                      </w:txbxContent>
                    </wps:txbx>
                    <wps:bodyPr wrap="none" lIns="0" tIns="0" rIns="0" bIns="0">
                      <a:spAutoFit/>
                    </wps:bodyPr>
                  </wps:wsp>
                </a:graphicData>
              </a:graphic>
            </wp:anchor>
          </w:drawing>
        </mc:Choice>
        <mc:Fallback>
          <w:pict>
            <v:shape id="_x0000_s1034" type="#_x0000_t202" style="position:absolute;margin-left:57.200000000000003pt;margin-top:794.70000000000005pt;width:50.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2024-1341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210185</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05000000000001pt;margin-top:16.55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476250</wp:posOffset>
              </wp:positionV>
              <wp:extent cx="57785" cy="103505"/>
              <wp:wrapNone/>
              <wp:docPr id="6" name="Shape 6"/>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2" type="#_x0000_t202" style="position:absolute;margin-left:309.44999999999999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8">
    <w:name w:val="Основной текст (6)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2">
    <w:name w:val="Основной текст (3)_"/>
    <w:basedOn w:val="DefaultParagraphFont"/>
    <w:link w:val="Style21"/>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5F5F5F"/>
      <w:sz w:val="12"/>
      <w:szCs w:val="12"/>
      <w:u w:val="none"/>
    </w:rPr>
  </w:style>
  <w:style w:type="character" w:customStyle="1" w:styleId="CharStyle32">
    <w:name w:val="Основной текст (5)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Основной текст"/>
    <w:basedOn w:val="Normal"/>
    <w:link w:val="CharStyle10"/>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spacing w:line="252" w:lineRule="auto"/>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7">
    <w:name w:val="Основной текст (6)"/>
    <w:basedOn w:val="Normal"/>
    <w:link w:val="CharStyle18"/>
    <w:pPr>
      <w:widowControl w:val="0"/>
      <w:shd w:val="clear" w:color="auto" w:fill="auto"/>
      <w:ind w:firstLine="360"/>
    </w:pPr>
    <w:rPr>
      <w:rFonts w:ascii="Arial" w:eastAsia="Arial" w:hAnsi="Arial" w:cs="Arial"/>
      <w:b w:val="0"/>
      <w:bCs w:val="0"/>
      <w:i w:val="0"/>
      <w:iCs w:val="0"/>
      <w:smallCaps w:val="0"/>
      <w:strike w:val="0"/>
      <w:sz w:val="34"/>
      <w:szCs w:val="34"/>
      <w:u w:val="none"/>
    </w:rPr>
  </w:style>
  <w:style w:type="paragraph" w:customStyle="1" w:styleId="Style21">
    <w:name w:val="Основной текст (3)"/>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5F5F5F"/>
      <w:sz w:val="12"/>
      <w:szCs w:val="12"/>
      <w:u w:val="none"/>
    </w:rPr>
  </w:style>
  <w:style w:type="paragraph" w:customStyle="1" w:styleId="Style31">
    <w:name w:val="Основной текст (5)"/>
    <w:basedOn w:val="Normal"/>
    <w:link w:val="CharStyle32"/>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s>
</file>