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5150" distL="1065530" distR="1059180" simplePos="0" relativeHeight="125829378" behindDoc="0" locked="0" layoutInCell="1" allowOverlap="1">
            <wp:simplePos x="0" y="0"/>
            <wp:positionH relativeFrom="page">
              <wp:posOffset>1783715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832485</wp:posOffset>
                </wp:positionH>
                <wp:positionV relativeFrom="paragraph">
                  <wp:posOffset>622300</wp:posOffset>
                </wp:positionV>
                <wp:extent cx="2407920" cy="183197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07920" cy="18319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1о77@1я8.еоу.п1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1.01.2024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563/24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5.549999999999997pt;margin-top:49.pt;width:189.59999999999999pt;height:144.2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1о77@1я8.еоу.п1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1.01.2024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563/24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0" distB="0" distL="114300" distR="114300" simplePos="0" relativeHeight="125829381" behindDoc="0" locked="0" layoutInCell="1" allowOverlap="1">
            <wp:simplePos x="0" y="0"/>
            <wp:positionH relativeFrom="page">
              <wp:posOffset>716915</wp:posOffset>
            </wp:positionH>
            <wp:positionV relativeFrom="paragraph">
              <wp:posOffset>9638030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«Фонд содействия инновациям»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1е4о^ОVа^А@Га8^е.^и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«Экодом»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12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екодот97@тай.ги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077/06/106-18665/2023 о нарушении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1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11.01.2024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специалиста-эксперта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М.В. Сорбучевой,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«Фонд содействия инновациям»: Федотовой Н.А. (по доверенности от 05.06.2023 №б/н),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«Экодом», о времени и порядке заседания Комиссии Управления уведомленных надлежащим образом посредством размещения информации в Единой информационной системе,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«Экодом» (далее — Заявитель) на действия ФГБУ «Фонд содействия инновациям» (далее — Заказчик) при проведении открытого конкурса в электронной форме на право заключения государственного контракта на Выполнение работ (оказание услуг) по экспертной оценке и мониторингу хода реализации проектов, финансируемых федеральным государственным бюджетным учреждением «Фонд содействия развитию малых форм предприятий в научно-технической сфере» в рамках конкурсов «Экспорт-ЦТ» (очередь II), «Коммерциализация-ИИ» (очередь VI) (Закупка №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0373100086623000027) (далее — электронный конкурс, конкурс)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4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конкурса.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 на установление в извещении об осуществлении закупки неправомерного порядка оценки заявок участников закупки по показателю «Наличие у участников закупки опыта работы, связанного с предметом контракта» нестоимостного критерия «Квалификация участников закупки».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ст.32 Закона о контрактной системе установлено, что для оценки заявок, окончательных предложений участников закупки Заказчик в документации о закупке устанавливает следующие критерии: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цена контракта, сумма цен единиц товара, работы, услуги;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расходы на эксплуатацию и ремонт товаров, использование результатов работ;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качественные, функциональные и экологические характеристики объекта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п.11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 соответствии с Законом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ч.8 ст.32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устанавливается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76" w:lineRule="auto"/>
        <w:ind w:left="0" w:right="0" w:firstLine="700"/>
        <w:jc w:val="both"/>
        <w:rPr>
          <w:sz w:val="20"/>
          <w:szCs w:val="20"/>
        </w:rPr>
        <w:sectPr>
          <w:headerReference w:type="default" r:id="rId9"/>
          <w:footerReference w:type="default" r:id="rId10"/>
          <w:headerReference w:type="even" r:id="rId11"/>
          <w:footerReference w:type="even" r:id="rId12"/>
          <w:headerReference w:type="first" r:id="rId13"/>
          <w:footerReference w:type="first" r:id="rId14"/>
          <w:footnotePr>
            <w:pos w:val="pageBottom"/>
            <w:numFmt w:val="decimal"/>
            <w:numRestart w:val="continuous"/>
          </w:footnotePr>
          <w:pgSz w:w="11900" w:h="16840"/>
          <w:pgMar w:top="1081" w:right="537" w:bottom="768" w:left="1105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соответствии с извещением оценка заявок производится в соответствии с Постановлением Правительства РФ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2024-781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— Положение).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п.2 Положения «оценка заявок» -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п.24 Положения для оценки заявок по критерию оценки «квалификация участников закупки» могут применяться, если иное не предусмотрено настоящим Положением, один или несколько из следующих показателей оценки: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финансовых ресурсов;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на праве собственности или ином законном основании оборудования и других материальных ресурсов;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опыта поставки товара, выполнения работы, оказания услуги, связанного с предметом контракта;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деловой репутации;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специалистов и иных работников определенного уровня квалификации.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 «б» п.20 Положения если значение характеристики объекта закупки, определенной количественным значением, находится в функциональной зависимости от значения количества присваиваемых баллов, значение количества баллов по детализирующему показателю, присваиваемых заявке, подлежащей в соответствии с Законом о контрактной системе оценке по критерию оценки «характеристики объекта закупки» (БХ^, рассчитывается по нижеследующей формуле: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3" w:val="left"/>
        </w:tabs>
        <w:bidi w:val="0"/>
        <w:spacing w:before="0" w:after="2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случае, если лучшим является наибольшее значение характеристики объекта закупки, - по формуле: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3566" w:val="left"/>
        </w:tabs>
        <w:bidi w:val="0"/>
        <w:spacing w:before="0" w:after="0" w:line="240" w:lineRule="auto"/>
        <w:ind w:left="0" w:right="0" w:firstLine="0"/>
        <w:jc w:val="center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vertAlign w:val="superscript"/>
          <w:lang w:val="ru-RU" w:eastAsia="ru-RU" w:bidi="ru-RU"/>
        </w:rPr>
        <w:t>БХ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z w:val="44"/>
          <w:szCs w:val="44"/>
          <w:shd w:val="clear" w:color="auto" w:fill="auto"/>
          <w:lang w:val="ru-RU" w:eastAsia="ru-RU" w:bidi="ru-RU"/>
        </w:rPr>
        <w:t>(Х-х,™)</w:t>
      </w:r>
      <w:r>
        <w:rPr>
          <w:strike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Х 1°</w:t>
      </w:r>
      <w:r>
        <w:rPr>
          <w:strike/>
          <w:color w:val="000000"/>
          <w:spacing w:val="0"/>
          <w:w w:val="100"/>
          <w:position w:val="0"/>
          <w:sz w:val="30"/>
          <w:szCs w:val="30"/>
          <w:shd w:val="clear" w:color="auto" w:fill="auto"/>
          <w:vertAlign w:val="superscript"/>
          <w:lang w:val="ru-RU" w:eastAsia="ru-RU" w:bidi="ru-RU"/>
        </w:rPr>
        <w:t>0</w:t>
      </w:r>
      <w:r>
        <w:rPr>
          <w:strike/>
          <w:color w:val="000000"/>
          <w:spacing w:val="0"/>
          <w:w w:val="100"/>
          <w:position w:val="0"/>
          <w:sz w:val="30"/>
          <w:szCs w:val="30"/>
          <w:shd w:val="clear" w:color="auto" w:fill="auto"/>
          <w:vertAlign w:val="subscript"/>
          <w:lang w:val="ru-RU" w:eastAsia="ru-RU" w:bidi="ru-RU"/>
        </w:rPr>
        <w:t>Х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ab/>
        <w:t>;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pos="715" w:val="left"/>
        </w:tabs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1пах</w:t>
        <w:tab/>
        <w:t>1пш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 на установление Заказчиком неправомерного порядка оценки заявок участников закупки по показателю «Наличие у участников закупки опыта работы, связанного с предметом контракта» нестоимостного критерия, поскольку порядок не содержит предельные максимальные значения характеристики показателя.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согласно доводам Заявителя, Постановлением Правительства Москвы от 21.11.2023 № 2265-ПП «О внесении изменений в постановления Правительства Москвы от 5 июля 2013 г. № 441-ПП и от 19 июля 2019 г. № 899-ПП» (далее — постановление №2265-ПП) внесены изменения в части касающейся применения заказчика предельных максимальных значений по закупкам в формате конкурса.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Заявитель ссылается на п.1.1 данного постановления: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Приложение к постановлению дополнить пунктом 6.4(2) в следующей редакции: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«6.4(2). О применении при оценке заявок на участие в конкурсе и запросе предложений по критерию "квалификация участников процедуры закупки" с использованием показателя "опыт работы, связанный с предметом договора" детализирующего показателя «общая цена исполненных участником закупки договоров» с установлением его предельного максимального значения, которое определяется: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6.4(2).1. Для закупок с начальной (максимальной) ценой договора менее 10 млн рублей - в размере 10 начальных (максимальных) цен договора.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6.4(2).2. Для закупок с начальной (максимальной) ценой договора более 500 млн рублей - в размере двух начальных (максимальных) цен договора.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6.4(2).3. Для закупок с начальной (максимальной) ценой договора от 10 млн рублей до 500 млн рублей включительно - согласно формуле: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 = К х 1000000, где: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 - предельное максимальное значение детализирующего показателя «общая цена исполненных участником закупки договоров»;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- коэффициент определения детализирующего показателя «общая цена исполненных участником закупки договоров», округленный до целого числа, рассчитываемый по формуле: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= (90 х Н /1000000 + 4000) / 49, где: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 - начальная (максимальная) цена договора (сумма начальных (максимальных) цен договоров в случае проведения совместной закупки).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6.4(2).4. В иных размерах для закупок вне зависимости от размера начальной (максимальной) цены договора - при наличии решения Мэра Москвы, либо решения совещательного органа, возглавляемого Мэром Москвы, либо решения, принятого на соответствующем совещании с участием Мэра Москвы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п.1 постановления №2265-ПП предусматривает изменения в постановление Правительства Москвы от 5 июля 2013 г. № 441-ПП «Об утверждении Перечня дополнительных требований к положению о закупках товаров (работ, услуг) отдельных видов юридических лиц», которым регламентируется проведение закупок в рамках Федерального закона от 18 июля 2011 г. № 223-ФЗ «О закупках товаров, работ, услуг отдельными видами юридических лиц», и данные условия не относятся к закупкам проводимым государственными заказчиками города Москвы в рамках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то же время, п. 2 постановления №2265-ПП внесены изменения в постановление Правительства Москвы от 19 июля 2019 г. К 899-ПП «О системе закупок города Москвы».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согласно п. 2.1 постановления №2265-ПП: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Приложение 1 к постановлению дополнить пунктом 7.22 в следующей редакции: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20"/>
        <w:jc w:val="both"/>
        <w:rPr>
          <w:sz w:val="20"/>
          <w:szCs w:val="20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687" w:left="1077" w:header="0" w:footer="3" w:gutter="0"/>
          <w:cols w:space="720"/>
          <w:noEndnote/>
          <w:rtlGutter w:val="0"/>
          <w:docGrid w:linePitch="360"/>
        </w:sectPr>
      </w:pPr>
      <w:r>
        <w:rPr>
          <w:i/>
          <w:i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«7.22. При осуществлении закупок путем проведения конкурса оценка заявок на участие в конкурсе по критерию «Квалификация участников закупки» с использованием показателя «Наличие у участников закупки опыта работы, связанного с предметом контракта» осуществляется с применением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2024-781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детализирующего показателя «общая цена исполненных участником закупки договоров» с установлением его предельного значения, которое определяется:</w:t>
      </w:r>
    </w:p>
    <w:p>
      <w:pPr>
        <w:pStyle w:val="Style6"/>
        <w:keepNext w:val="0"/>
        <w:keepLines w:val="0"/>
        <w:widowControl w:val="0"/>
        <w:numPr>
          <w:ilvl w:val="2"/>
          <w:numId w:val="5"/>
        </w:numPr>
        <w:shd w:val="clear" w:color="auto" w:fill="auto"/>
        <w:tabs>
          <w:tab w:pos="163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закупок с НМЦК менее 10 млн рублей - в размере 10 НМЦК.</w:t>
      </w:r>
    </w:p>
    <w:p>
      <w:pPr>
        <w:pStyle w:val="Style6"/>
        <w:keepNext w:val="0"/>
        <w:keepLines w:val="0"/>
        <w:widowControl w:val="0"/>
        <w:numPr>
          <w:ilvl w:val="2"/>
          <w:numId w:val="5"/>
        </w:numPr>
        <w:shd w:val="clear" w:color="auto" w:fill="auto"/>
        <w:tabs>
          <w:tab w:pos="163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закупок с НМЦК более 500 млн рублей - в размере двух НМЦК.</w:t>
      </w:r>
    </w:p>
    <w:p>
      <w:pPr>
        <w:pStyle w:val="Style6"/>
        <w:keepNext w:val="0"/>
        <w:keepLines w:val="0"/>
        <w:widowControl w:val="0"/>
        <w:numPr>
          <w:ilvl w:val="2"/>
          <w:numId w:val="5"/>
        </w:numPr>
        <w:shd w:val="clear" w:color="auto" w:fill="auto"/>
        <w:tabs>
          <w:tab w:pos="16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закупок с НМЦК от 10 млн рублей до 500 млн рублей включительно - согласно формуле: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 = К х 1000000, где: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 - предельное максимальное значение детализирующего показателя «общая цена исполненных участником закупки договоров»;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- коэффициент определения детализирующего показателя «общая цена исполненных участником закупки договоров», округленный до целого числа, рассчитываемый по формуле: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= (90 х Н /1000000 + 4000) / 49, где: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 - НМЦК (сумма НМЦК в случае проведения совместной закупки)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в силу ч.8 ст.32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устанавливается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Положением не установлена обязанность Заказчика устанавливать предельно необходимые минимальные или максимальные количественные значения критериев оценки, в связи с чем установление предельных величин значимости нестоимостных критериев оценки является правом Заказчика. Заказчик вправе самостоятельно определить в конкурсной документации используемые для оценки нестоимостные критерии оценки (показатели) и предусмотреть формулу расчета количества баллов.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Более того, оспариваемый показатель, содержащийся в порядке оценки конкурсных заявок в составе извещения о проведении закупки, направлен на выявление общей цены исполненных участником закупки контрактов (договоров), представляемых участником закупки, что в полной мере соответствует условиям пп. «б» п.20 Положения, предусматривающим, что лучшим является наибольшее значение характеристики объекта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 установленный Заказчиком порядок оценки не противоречит требованиям Закона о контрактной системе и требованиям Положения.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ч.4 ст.106 Закона о контрактной системе обязанность доказывания нарушения Заказчиком своих прав и законных интересов лежит на подателе жалобы, вместе с тем в составе жалобы Заявителем не представлено документов и сведений, свидетельствующих о нарушении Заказчиком норм действующего законодательства о контрактной системе при формировании вышеуказанного порядка оценки, в частности не представлена информация, подтверждающая, что права и интересы Заявителя нарушены действиями Заказчика, ввиду чего у Комиссии Управления отсутствуют правовые основания для признания Заказчика нарушившим требования Положения,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с учетом вышеизложенного Комиссия Управления приходит к выводу о необоснованности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Дополнительно Комиссия Управления отмечает, что в силу п. 4.3.1 Положения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Главном контрольном управлении города Москвы, утвержденного постановлением Правительства Москвы от 25 апреля 2012 г. 193-ПП «О создании Главного контрольного управления города Москвы» осуществление контроля за соблюдением заказчиками города Москвы, контрактными службами, контрактными управляющими, комиссиями по осуществлению закупок и их членами, уполномоченными органами, уполномоченными учреждениями, специализированными организациями законодательства Российской Федерации и иных нормативных правовых актов Российской Федерации, правовых актов города Москвы о контрактной системе в сфере закупок товаров, работ, услуг для обеспечения государственных и муниципальных нужд возложено на Главное контрольное управление города Москвы.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ООО «Экодом» на действия ФГБУ «Фонд содействия инновациям» необоснованной.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Снять ограничения, наложенные на определение поставщика (подрядчика, исполнителя)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15"/>
          <w:footerReference w:type="default" r:id="rId16"/>
          <w:headerReference w:type="even" r:id="rId17"/>
          <w:footerReference w:type="even" r:id="rId18"/>
          <w:footnotePr>
            <w:pos w:val="pageBottom"/>
            <w:numFmt w:val="decimal"/>
            <w:numRestart w:val="continuous"/>
          </w:footnotePr>
          <w:pgSz w:w="11900" w:h="16840"/>
          <w:pgMar w:top="1162" w:right="533" w:bottom="1162" w:left="108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56870" distL="0" distR="0" simplePos="0" relativeHeight="125829382" behindDoc="0" locked="0" layoutInCell="1" allowOverlap="1">
                <wp:simplePos x="0" y="0"/>
                <wp:positionH relativeFrom="page">
                  <wp:posOffset>728345</wp:posOffset>
                </wp:positionH>
                <wp:positionV relativeFrom="paragraph">
                  <wp:posOffset>127000</wp:posOffset>
                </wp:positionV>
                <wp:extent cx="1850390" cy="2527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7.350000000000001pt;margin-top:10.pt;width:145.70000000000002pt;height:19.900000000000002pt;z-index:-125829371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3200" distB="0" distL="0" distR="1786255" simplePos="0" relativeHeight="125829384" behindDoc="0" locked="0" layoutInCell="1" allowOverlap="1">
            <wp:simplePos x="0" y="0"/>
            <wp:positionH relativeFrom="page">
              <wp:posOffset>3068955</wp:posOffset>
            </wp:positionH>
            <wp:positionV relativeFrom="paragraph">
              <wp:posOffset>203200</wp:posOffset>
            </wp:positionV>
            <wp:extent cx="353695" cy="536575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3526155</wp:posOffset>
                </wp:positionH>
                <wp:positionV relativeFrom="paragraph">
                  <wp:posOffset>602615</wp:posOffset>
                </wp:positionV>
                <wp:extent cx="1283335" cy="1035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E0E0E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b/>
                                <w:bCs/>
                                <w:color w:val="E0E0E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65000000000003pt;margin-top:47.450000000000003pt;width:101.0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E0E0E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b/>
                          <w:bCs/>
                          <w:color w:val="E0E0E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3483610</wp:posOffset>
                </wp:positionH>
                <wp:positionV relativeFrom="paragraph">
                  <wp:posOffset>291465</wp:posOffset>
                </wp:positionV>
                <wp:extent cx="1722120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4.30000000000001pt;margin-top:22.94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6870" distL="0" distR="0" simplePos="0" relativeHeight="125829385" behindDoc="0" locked="0" layoutInCell="1" allowOverlap="1">
                <wp:simplePos x="0" y="0"/>
                <wp:positionH relativeFrom="page">
                  <wp:posOffset>5901055</wp:posOffset>
                </wp:positionH>
                <wp:positionV relativeFrom="paragraph">
                  <wp:posOffset>127000</wp:posOffset>
                </wp:positionV>
                <wp:extent cx="1307465" cy="25273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64.65000000000003pt;margin-top:10.pt;width:102.95pt;height:19.900000000000002pt;z-index:-125829368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5F5F5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выдан: Кутейников Антон Андреевич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6366183222Е5ОСЕ2САЗЕ6О732820С91С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color w:val="5F5F5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F5F5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23.01.2023 </w:t>
      </w:r>
      <w:r>
        <w:rPr>
          <w:color w:val="8A8A8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17.04.2024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3068955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3526155</wp:posOffset>
                </wp:positionH>
                <wp:positionV relativeFrom="paragraph">
                  <wp:posOffset>462915</wp:posOffset>
                </wp:positionV>
                <wp:extent cx="1283335" cy="1035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7.65000000000003pt;margin-top:36.450000000000003pt;width:101.0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3483610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74.30000000000001pt;margin-top:11.95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5F5F5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выдан: Мацнева Мария Олеговна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F5F5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008926921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ЕВ71Е0631А2ЕЕ19РВВ8Е80В4Е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color w:val="5F5F5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F5F5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28.03.2023 </w:t>
      </w:r>
      <w:r>
        <w:rPr>
          <w:color w:val="76767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20.06.2024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3068955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3526155</wp:posOffset>
                </wp:positionH>
                <wp:positionV relativeFrom="paragraph">
                  <wp:posOffset>462915</wp:posOffset>
                </wp:positionV>
                <wp:extent cx="1283335" cy="103505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77.65000000000003pt;margin-top:36.450000000000003pt;width:101.05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3483610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274.30000000000001pt;margin-top:11.950000000000001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выдан: Сорбучева Мария Васильевна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0018Е970Е55В5023ВСС0395Е903С1035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right="0" w:firstLine="0"/>
        <w:jc w:val="left"/>
      </w:pPr>
      <w:r>
        <w:rPr>
          <w:color w:val="5F5F5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03.08.2023 </w:t>
      </w:r>
      <w:r>
        <w:rPr>
          <w:color w:val="8A8A8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26.10.2024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Исп.Сорбучева М.В.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7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10092690</wp:posOffset>
              </wp:positionV>
              <wp:extent cx="567055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0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2024-781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649999999999999pt;margin-top:794.70000000000005pt;width:44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2024-781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10269220</wp:posOffset>
              </wp:positionV>
              <wp:extent cx="560705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07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2024-781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6.950000000000003pt;margin-top:808.60000000000002pt;width:44.14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2024-781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10092690</wp:posOffset>
              </wp:positionV>
              <wp:extent cx="567055" cy="10033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0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2024-781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6.649999999999999pt;margin-top:794.70000000000005pt;width:44.649999999999999pt;height:7.9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2024-781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10092690</wp:posOffset>
              </wp:positionV>
              <wp:extent cx="567055" cy="10033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0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2024-781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56.649999999999999pt;margin-top:794.70000000000005pt;width:44.649999999999999pt;height:7.900000000000000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2024-781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8.65000000000003pt;margin-top:37.5pt;width:5.0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424180</wp:posOffset>
              </wp:positionV>
              <wp:extent cx="67310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05000000000001pt;margin-top:33.399999999999999pt;width:5.29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8.65000000000003pt;margin-top:37.5pt;width:5.04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308.65000000000003pt;margin-top:37.5pt;width:5.0499999999999998pt;height:8.15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7"/>
      <w:numFmt w:val="decimal"/>
      <w:lvlText w:val="%1."/>
    </w:lvl>
    <w:lvl w:ilvl="1">
      <w:start w:val="22"/>
      <w:numFmt w:val="decimal"/>
      <w:lvlText w:val="%1.%2."/>
    </w:lvl>
    <w:lvl w:ilvl="2">
      <w:start w:val="1"/>
      <w:numFmt w:val="decimal"/>
      <w:lvlText w:val="%1.%2.%3.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Заголовок №1_"/>
    <w:basedOn w:val="DefaultParagraphFont"/>
    <w:link w:val="Style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Основной текст (5)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4"/>
      <w:szCs w:val="44"/>
      <w:u w:val="none"/>
    </w:rPr>
  </w:style>
  <w:style w:type="character" w:customStyle="1" w:styleId="CharStyle23">
    <w:name w:val="Основной текст (6)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26">
    <w:name w:val="Подпись к картинке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31">
    <w:name w:val="Основной текст (2)_"/>
    <w:basedOn w:val="DefaultParagraphFont"/>
    <w:link w:val="Style30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character" w:customStyle="1" w:styleId="CharStyle37">
    <w:name w:val="Основной текст (4)_"/>
    <w:basedOn w:val="DefaultParagraphFont"/>
    <w:link w:val="Style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auto"/>
      <w:spacing w:after="14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Основной текст (5)"/>
    <w:basedOn w:val="Normal"/>
    <w:link w:val="CharStyle19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4"/>
      <w:szCs w:val="44"/>
      <w:u w:val="none"/>
    </w:rPr>
  </w:style>
  <w:style w:type="paragraph" w:customStyle="1" w:styleId="Style22">
    <w:name w:val="Основной текст (6)"/>
    <w:basedOn w:val="Normal"/>
    <w:link w:val="CharStyle2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25">
    <w:name w:val="Подпись к картинке"/>
    <w:basedOn w:val="Normal"/>
    <w:link w:val="CharStyle26"/>
    <w:pPr>
      <w:widowControl w:val="0"/>
      <w:shd w:val="clear" w:color="auto" w:fill="auto"/>
      <w:spacing w:line="21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30">
    <w:name w:val="Основной текст (2)"/>
    <w:basedOn w:val="Normal"/>
    <w:link w:val="CharStyle31"/>
    <w:pPr>
      <w:widowControl w:val="0"/>
      <w:shd w:val="clear" w:color="auto" w:fill="auto"/>
      <w:ind w:left="37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36">
    <w:name w:val="Основной текст (4)"/>
    <w:basedOn w:val="Normal"/>
    <w:link w:val="CharStyle37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header" Target="header5.xml"/><Relationship Id="rId18" Type="http://schemas.openxmlformats.org/officeDocument/2006/relationships/footer" Target="footer5.xml"/><Relationship Id="rId19" Type="http://schemas.openxmlformats.org/officeDocument/2006/relationships/image" Target="media/image3.jpeg"/><Relationship Id="rId20" Type="http://schemas.openxmlformats.org/officeDocument/2006/relationships/image" Target="media/image3.jpeg" TargetMode="External"/><Relationship Id="rId21" Type="http://schemas.openxmlformats.org/officeDocument/2006/relationships/image" Target="media/image4.jpeg"/><Relationship Id="rId22" Type="http://schemas.openxmlformats.org/officeDocument/2006/relationships/image" Target="media/image4.jpeg" TargetMode="External"/><Relationship Id="rId23" Type="http://schemas.openxmlformats.org/officeDocument/2006/relationships/image" Target="media/image5.jpeg"/><Relationship Id="rId24" Type="http://schemas.openxmlformats.org/officeDocument/2006/relationships/image" Target="media/image5.jpeg" TargetMode="External"/></Relationships>
</file>