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724535</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050000000000004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Курганской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br/>
                        <w:t>е-тай: 1о45@Га8.§оу.ги</w:t>
                      </w:r>
                    </w:p>
                    <w:p>
                      <w:pPr>
                        <w:pStyle w:val="Style5"/>
                        <w:keepNext w:val="0"/>
                        <w:keepLines w:val="0"/>
                        <w:widowControl w:val="0"/>
                        <w:shd w:val="clear" w:color="auto" w:fill="auto"/>
                        <w:tabs>
                          <w:tab w:leader="underscore" w:pos="1762" w:val="left"/>
                          <w:tab w:leader="underscore" w:pos="3931" w:val="left"/>
                        </w:tabs>
                        <w:bidi w:val="0"/>
                        <w:spacing w:before="0" w:line="240" w:lineRule="auto"/>
                        <w:ind w:left="0" w:right="0" w:firstLine="0"/>
                        <w:jc w:val="center"/>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727710</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724535</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050000000000004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Государственное бюджетное учреждение "Курганская областная клиническая больница"</w:t>
      </w:r>
    </w:p>
    <w:p>
      <w:pPr>
        <w:pStyle w:val="Style10"/>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640002, г. Курган, ул. Томина, д. 63 до8хакирИ_кокЪ@тай .ги</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10"/>
        <w:keepNext w:val="0"/>
        <w:keepLines w:val="0"/>
        <w:widowControl w:val="0"/>
        <w:shd w:val="clear" w:color="auto" w:fill="auto"/>
        <w:bidi w:val="0"/>
        <w:spacing w:before="0" w:after="280" w:line="240" w:lineRule="auto"/>
        <w:ind w:left="1020" w:right="0" w:firstLine="0"/>
        <w:jc w:val="left"/>
      </w:pPr>
      <w:r>
        <w:rPr>
          <w:color w:val="000000"/>
          <w:spacing w:val="0"/>
          <w:w w:val="100"/>
          <w:position w:val="0"/>
          <w:shd w:val="clear" w:color="auto" w:fill="auto"/>
          <w:lang w:val="ru-RU" w:eastAsia="ru-RU" w:bidi="ru-RU"/>
        </w:rPr>
        <w:t>640003, Курганская область, г. Курган, ул. Р. Зорге, д. 20, оф. 1 идх@кигдапоЫ.ги</w:t>
      </w:r>
    </w:p>
    <w:p>
      <w:pPr>
        <w:pStyle w:val="Style10"/>
        <w:keepNext w:val="0"/>
        <w:keepLines w:val="0"/>
        <w:widowControl w:val="0"/>
        <w:shd w:val="clear" w:color="auto" w:fill="auto"/>
        <w:bidi w:val="0"/>
        <w:spacing w:before="0" w:after="960" w:line="240" w:lineRule="auto"/>
        <w:ind w:left="5320" w:right="0" w:hanging="4300"/>
        <w:jc w:val="left"/>
      </w:pPr>
      <w:r>
        <w:rPr>
          <w:color w:val="000000"/>
          <w:spacing w:val="0"/>
          <w:w w:val="100"/>
          <w:position w:val="0"/>
          <w:shd w:val="clear" w:color="auto" w:fill="auto"/>
          <w:lang w:val="ru-RU" w:eastAsia="ru-RU" w:bidi="ru-RU"/>
        </w:rPr>
        <w:t>Общество с ограниченной ответственностью «АМЕД» 124365, г. Москва, вн.тер.г. муниципальный округ Крюково, г. Зеленоград, к. 1651, пом. XVI, ком. 26 тГо@ашед.опе</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 045/06/106-14/2024</w:t>
        <w:br/>
        <w:t>по делу о нарушении законодательства о контрактной системе в сфере закупок</w:t>
      </w:r>
    </w:p>
    <w:p>
      <w:pPr>
        <w:pStyle w:val="Style10"/>
        <w:keepNext w:val="0"/>
        <w:keepLines w:val="0"/>
        <w:widowControl w:val="0"/>
        <w:shd w:val="clear" w:color="auto" w:fill="auto"/>
        <w:tabs>
          <w:tab w:pos="9062" w:val="left"/>
        </w:tabs>
        <w:bidi w:val="0"/>
        <w:spacing w:before="0" w:after="280" w:line="240" w:lineRule="auto"/>
        <w:ind w:left="0" w:right="0" w:firstLine="0"/>
        <w:jc w:val="both"/>
      </w:pPr>
      <w:r>
        <w:rPr>
          <w:color w:val="000000"/>
          <w:spacing w:val="0"/>
          <w:w w:val="100"/>
          <w:position w:val="0"/>
          <w:shd w:val="clear" w:color="auto" w:fill="auto"/>
          <w:lang w:val="ru-RU" w:eastAsia="ru-RU" w:bidi="ru-RU"/>
        </w:rPr>
        <w:t>11.01.2024 г.</w:t>
        <w:tab/>
        <w:t>г. Курган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заместитель руководителя управления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0"/>
        <w:keepNext w:val="0"/>
        <w:keepLines w:val="0"/>
        <w:widowControl w:val="0"/>
        <w:shd w:val="clear" w:color="auto" w:fill="auto"/>
        <w:bidi w:val="0"/>
        <w:spacing w:before="0" w:after="480" w:line="240" w:lineRule="auto"/>
        <w:ind w:left="0" w:right="0" w:firstLine="74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7"/>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 xml:space="preserve">в присутствии представителя Заказчика - </w:t>
      </w:r>
      <w:r>
        <w:rPr>
          <w:color w:val="000000"/>
          <w:spacing w:val="0"/>
          <w:w w:val="100"/>
          <w:position w:val="0"/>
          <w:shd w:val="clear" w:color="auto" w:fill="auto"/>
          <w:lang w:val="ru-RU" w:eastAsia="ru-RU" w:bidi="ru-RU"/>
        </w:rPr>
        <w:t xml:space="preserve">Государственного бюджетного учреждения «Курганская областная клиническая больница» (далее - ГБУ «КОКБ», Заказчик) </w:t>
      </w:r>
      <w:r>
        <w:rPr>
          <w:color w:val="00000A"/>
          <w:spacing w:val="0"/>
          <w:w w:val="100"/>
          <w:position w:val="0"/>
          <w:shd w:val="clear" w:color="auto" w:fill="auto"/>
          <w:lang w:val="ru-RU" w:eastAsia="ru-RU" w:bidi="ru-RU"/>
        </w:rPr>
        <w:t>- Каюмова В.Н. (доверенность № б/н от 09.01.2024 г.), Дедюхиной К.О. (доверенность № б/н от 11.01.2024 г.) посредством видео-конференц связи,</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в присутствии представителя 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 Гаева Е.Е. (доверенность № 1 от 09.01.2024 г.),</w:t>
      </w:r>
    </w:p>
    <w:p>
      <w:pPr>
        <w:pStyle w:val="Style10"/>
        <w:keepNext w:val="0"/>
        <w:keepLines w:val="0"/>
        <w:widowControl w:val="0"/>
        <w:shd w:val="clear" w:color="auto" w:fill="auto"/>
        <w:bidi w:val="0"/>
        <w:spacing w:before="0" w:after="0" w:line="240" w:lineRule="auto"/>
        <w:ind w:left="0" w:right="0" w:firstLine="720"/>
        <w:jc w:val="both"/>
      </w:pPr>
      <w:r>
        <w:rPr>
          <w:color w:val="00000A"/>
          <w:spacing w:val="0"/>
          <w:w w:val="100"/>
          <w:position w:val="0"/>
          <w:shd w:val="clear" w:color="auto" w:fill="auto"/>
          <w:lang w:val="ru-RU" w:eastAsia="ru-RU" w:bidi="ru-RU"/>
        </w:rPr>
        <w:t>в присутствии представителя Заявителя - Общества с ограниченной ответственностью «АМЕД» (далее - ООО «АМЕД», Заявитель) - Уразова А.Э. (генеральный директор на основании выписки из ЕГРЮЛ) посредством видео- конференц связи,</w:t>
      </w:r>
    </w:p>
    <w:p>
      <w:pPr>
        <w:pStyle w:val="Style10"/>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w:t>
      </w:r>
      <w:r>
        <w:rPr>
          <w:color w:val="00000A"/>
          <w:spacing w:val="0"/>
          <w:w w:val="100"/>
          <w:position w:val="0"/>
          <w:shd w:val="clear" w:color="auto" w:fill="auto"/>
          <w:lang w:val="ru-RU" w:eastAsia="ru-RU" w:bidi="ru-RU"/>
        </w:rPr>
        <w:t>ООО «АМЕД» на действия Заказчика - ГБУ «КОКБ», при участии Уполномоченного учреждения - ГКУ «Центр закупок и бухгалтерского учета Курганской области» при осуществлении закупки путем проведения запроса котировок в электронной форме на поставку медицинских изделий (Система исследования сосудов ультразвуковая неинвазивная, с питанием от батареи)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0843500000223008316), 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 товаров, работ, услуг),</w:t>
      </w:r>
    </w:p>
    <w:p>
      <w:pPr>
        <w:pStyle w:val="Style10"/>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28.12.2023 г. в Курганское УФАС России поступила жалоба </w:t>
      </w:r>
      <w:r>
        <w:rPr>
          <w:color w:val="00000A"/>
          <w:spacing w:val="0"/>
          <w:w w:val="100"/>
          <w:position w:val="0"/>
          <w:shd w:val="clear" w:color="auto" w:fill="auto"/>
          <w:lang w:val="ru-RU" w:eastAsia="ru-RU" w:bidi="ru-RU"/>
        </w:rPr>
        <w:t xml:space="preserve">ООО «АМЕД» (вх. № 5696-ЭП/23) на действия Заказчика - ГБУ «КОКБ», при участии Уполномоченного учреждения - ГКУ «Центр закупок и бухгалтерского учета Курганской области» при осуществлении закупки путем проведения запроса котировок в электронной форме на поставку медицинских изделий (Система исследования сосудов ультразвуковая неинвазивная, с питанием от батареи) ввод в эксплуатацию медицинских изделий, обучение правилам эксплуатации специалистов, эксплуатирующих медицинские </w:t>
      </w:r>
      <w:r>
        <w:rPr>
          <w:color w:val="00000A"/>
          <w:spacing w:val="0"/>
          <w:w w:val="100"/>
          <w:position w:val="0"/>
          <w:shd w:val="clear" w:color="auto" w:fill="auto"/>
          <w:lang w:val="ru-RU" w:eastAsia="ru-RU" w:bidi="ru-RU"/>
        </w:rPr>
        <w:t>изделия, и специалистов, осуществляющих техническое обслуживание медицинских изделий (извещение № 0843500000223008316)</w:t>
      </w:r>
      <w:r>
        <w:rPr>
          <w:color w:val="000000"/>
          <w:spacing w:val="0"/>
          <w:w w:val="100"/>
          <w:position w:val="0"/>
          <w:shd w:val="clear" w:color="auto" w:fill="auto"/>
          <w:lang w:val="ru-RU" w:eastAsia="ru-RU" w:bidi="ru-RU"/>
        </w:rPr>
        <w:t>.</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Доводы жалобы сводятся к следующему.</w:t>
      </w:r>
    </w:p>
    <w:p>
      <w:pPr>
        <w:pStyle w:val="Style10"/>
        <w:keepNext w:val="0"/>
        <w:keepLines w:val="0"/>
        <w:widowControl w:val="0"/>
        <w:numPr>
          <w:ilvl w:val="0"/>
          <w:numId w:val="1"/>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полагает, что Заказчиком ненадлежащим образом установлен код КТРУ - 26.60.12.132-00000017 на закупаемое оборудование, который не соответствует функциональным и потребительским свойствам, необходимым Заказчику и описанным в составе извещения.</w:t>
      </w:r>
    </w:p>
    <w:p>
      <w:pPr>
        <w:pStyle w:val="Style10"/>
        <w:keepNext w:val="0"/>
        <w:keepLines w:val="0"/>
        <w:widowControl w:val="0"/>
        <w:numPr>
          <w:ilvl w:val="0"/>
          <w:numId w:val="1"/>
        </w:numPr>
        <w:shd w:val="clear" w:color="auto" w:fill="auto"/>
        <w:tabs>
          <w:tab w:pos="10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указано: «Электронный блок в корпусе с двумя сканирующими поверхностями (корпус типа «двойной датчик») с возможностью беспроводного подключения к мобильным устройствам на базе 1ОВ/Л|1с1гок1/Ш|1с1о\\^ посредством встроенного Ш-1ч модуля».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в настоящий момент на территории Российской Федерации зарегистрировано лишь два беспроводных аппарата УЗИ с «корпусом типа «двойной датчик» (РЗН 2021/14456, НКМИ: 260250; РЗН 2022/16672, НКМИ: 324320), но ни один из двух НКМИ не соответствует НКМИ, входящему в описание КТРУ 26.60.12.132-00000017 и являющимся частью Описания объекта закупки</w:t>
      </w:r>
    </w:p>
    <w:p>
      <w:pPr>
        <w:pStyle w:val="Style10"/>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в комплектации поставки, Заказчиком установлено следующее требование: «Планшет для визуализации получаемых данных Подключение беспроводного УЗИ - на базе Ю8/АпдгоМЖтдо\8». Беспроводное подключение сканера такого типа ко всем типам мобильных устройств визуализации на базе 1(.')В/Лпс1гок1/Ш|1с1о\\5. является одним из основных преимуществ, но указание и требование конкретно планшета, является избыточным требованием и ограничением для участия.</w:t>
      </w:r>
    </w:p>
    <w:p>
      <w:pPr>
        <w:pStyle w:val="Style10"/>
        <w:keepNext w:val="0"/>
        <w:keepLines w:val="0"/>
        <w:widowControl w:val="0"/>
        <w:numPr>
          <w:ilvl w:val="0"/>
          <w:numId w:val="1"/>
        </w:numPr>
        <w:shd w:val="clear" w:color="auto" w:fill="auto"/>
        <w:tabs>
          <w:tab w:pos="1047"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В Описания объекта закупки Заказчиком установлено требование «Масса- габаритные характеристики» без обоснования таких требований. Данные требования ограничивают участие в закупке и не соответствуют действительности.</w:t>
      </w:r>
    </w:p>
    <w:tbl>
      <w:tblPr>
        <w:tblOverlap w:val="never"/>
        <w:jc w:val="left"/>
        <w:tblLayout w:type="fixed"/>
      </w:tblPr>
      <w:tblGrid>
        <w:gridCol w:w="4670"/>
        <w:gridCol w:w="2794"/>
      </w:tblGrid>
      <w:tr>
        <w:trPr>
          <w:trHeight w:val="566" w:hRule="exact"/>
        </w:trPr>
        <w:tc>
          <w:tcPr>
            <w:gridSpan w:val="2"/>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Масса-габаритные характеристики:</w:t>
            </w:r>
          </w:p>
        </w:tc>
      </w:tr>
      <w:tr>
        <w:trPr>
          <w:trHeight w:val="56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Длина, мм</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более 160</w:t>
            </w:r>
          </w:p>
        </w:tc>
      </w:tr>
      <w:tr>
        <w:trPr>
          <w:trHeight w:val="56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Ширина, мм</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более 60</w:t>
            </w:r>
          </w:p>
        </w:tc>
      </w:tr>
      <w:tr>
        <w:trPr>
          <w:trHeight w:val="56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Толщина основного блока, мм</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более 20</w:t>
            </w:r>
          </w:p>
        </w:tc>
      </w:tr>
      <w:tr>
        <w:trPr>
          <w:trHeight w:val="566"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Масса, грамм</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более 260</w:t>
            </w:r>
          </w:p>
        </w:tc>
      </w:tr>
    </w:tbl>
    <w:p>
      <w:pPr>
        <w:widowControl w:val="0"/>
        <w:spacing w:after="259" w:line="1" w:lineRule="exact"/>
      </w:pPr>
    </w:p>
    <w:p>
      <w:pPr>
        <w:pStyle w:val="Style10"/>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под Описание объекта закупки подходит КТРУ 26.60.12.132-00000041 и КТРУ 26.60.12.132-00000042 «Система ультразвуковой визуализации ручная, для поверхности тела», которые обязан был применить Заказчик при формировании данной закупки.</w:t>
      </w:r>
    </w:p>
    <w:p>
      <w:pPr>
        <w:pStyle w:val="Style10"/>
        <w:keepNext w:val="0"/>
        <w:keepLines w:val="0"/>
        <w:widowControl w:val="0"/>
        <w:numPr>
          <w:ilvl w:val="0"/>
          <w:numId w:val="1"/>
        </w:numPr>
        <w:shd w:val="clear" w:color="auto" w:fill="auto"/>
        <w:tabs>
          <w:tab w:pos="1052"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Извещение рассматриваемой закупки не содержит в себе обоснование характеристик согласно пункту 6 Правил использования каталога товаров, работ, услуг для обеспечения государственных и муниципальных нужд (утв.</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Постановлением Правительства РФ от 8 февраля 2017 г. № 145), по которому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присутствует описание 3 (трех) сканирующих поверхностей: 1. Линейная сканирующая поверхность, 2. Конвексная/секторная сканирующая поверхность в режиме работы конвекса, 3. Конвексная/секторная сканирующая поверхность в режиме работы сектора. Данное требование противоречит самому Описанию объекта закупки в части описания комплектации поставки: «Электронный блок в корпусе с двумя сканирующими поверхностями (корпус типа «двойной датчик») (рис. 3) с возможностью беспроводного подключения к мобильным устройствам на базе 1(.')В/А|1с1гок1/Ш|1с1о\\'&lt;, посредством встроенного ^1-Н модуля». «Фазированый/секторный» режим сканирования, доступен именно как режим на сканирующей поверхности конвексного датчика, а не как отдельная сканирующая поверхность.</w:t>
      </w:r>
    </w:p>
    <w:p>
      <w:pPr>
        <w:pStyle w:val="Style10"/>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Заказчиком установлено требование «Сумка для транспортировки - наличие». Указание конкретно «сумки для транспортировки», является требованием ограничивающим конкуренцию, что также противоречит принципам Закона о контрактной системе и Федеральному закону «О защите конкуренции» от 26.07.2006 № 135-ФЗ.</w:t>
      </w:r>
    </w:p>
    <w:p>
      <w:pPr>
        <w:pStyle w:val="Style10"/>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Описании объекта закупки установлено требование «Максимальная глубина визуализации, см - &gt; 32». Данное требование является умышлено установленным, потому как истинная глубина сканирования/визуализации равна 305 (тремстам пяти) миллиметрам, о чем свидетельствуют данные сайта завода производителя 8опоз1аг.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просит признать в действиях Заказчика нарушения Закона о контрактной системе; выдать обязательное предписание об устранении нарушений.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Заказчика </w:t>
      </w:r>
      <w:r>
        <w:rPr>
          <w:color w:val="000000"/>
          <w:spacing w:val="0"/>
          <w:w w:val="100"/>
          <w:position w:val="0"/>
          <w:shd w:val="clear" w:color="auto" w:fill="auto"/>
          <w:lang w:val="ru-RU" w:eastAsia="ru-RU" w:bidi="ru-RU"/>
        </w:rPr>
        <w:t>с доводом жалобы не согласен, считает, что составленное Описание объекта закупки соответствует нормам действующего законодательства о контрактной системе. Более подробно свою позицию относительно доводов жалобы изложил в письменных возражениях, которые приобщены к материалам дела.</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Представитель Уполномоченного учреждения </w:t>
      </w:r>
      <w:r>
        <w:rPr>
          <w:color w:val="000000"/>
          <w:spacing w:val="0"/>
          <w:w w:val="100"/>
          <w:position w:val="0"/>
          <w:shd w:val="clear" w:color="auto" w:fill="auto"/>
          <w:lang w:val="ru-RU" w:eastAsia="ru-RU" w:bidi="ru-RU"/>
        </w:rPr>
        <w:t>с доводом, изложенным Заявителем в жалобе не согласен по основаниям, изложенным в возражениях, которые приобщены к материалам дела по рассмотрению данной жалобы, просит признать жалобу необоснованной.</w:t>
      </w:r>
    </w:p>
    <w:p>
      <w:pPr>
        <w:pStyle w:val="Style10"/>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xml:space="preserve">, что 21.12.2023 г. в ЕИС опубликовано извещение о проведении запроса котировок в электронной форме на поставку медицинских изделий (Система исследования сосудов ультразвуковая неинвазивная, с питанием от батареи) ввод в эксплуатацию медицинских изделий, обучение правилам эксплуатации специалистов, эксплуатирующих медицинские </w:t>
      </w:r>
      <w:r>
        <w:rPr>
          <w:color w:val="000000"/>
          <w:spacing w:val="0"/>
          <w:w w:val="100"/>
          <w:position w:val="0"/>
          <w:shd w:val="clear" w:color="auto" w:fill="auto"/>
          <w:lang w:val="ru-RU" w:eastAsia="ru-RU" w:bidi="ru-RU"/>
        </w:rPr>
        <w:t>изделия, и специалистов, осуществляющих техническое обслуживание медицинских изделий (извещение № 0843500000223008316).</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составляет 1 073 000 рублей 60 копеек.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является - ГБУ «КОКБ».</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заключен.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Размещение закупки осуществляет Уполномоченное учреждение - ГКУ «Центр закупок и бухгалтерского учета Курганской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Частью 1 статьи 24 Закона о контрактной системе, определено, что заказчики при осуществлении закупок применяют конкурентные способы определения </w:t>
      </w:r>
      <w:r>
        <w:rPr>
          <w:color w:val="000000"/>
          <w:spacing w:val="0"/>
          <w:w w:val="100"/>
          <w:position w:val="0"/>
          <w:shd w:val="clear" w:color="auto" w:fill="auto"/>
          <w:lang w:val="ru-RU" w:eastAsia="ru-RU" w:bidi="ru-RU"/>
        </w:rPr>
        <w:t>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10"/>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10"/>
        <w:keepNext w:val="0"/>
        <w:keepLines w:val="0"/>
        <w:widowControl w:val="0"/>
        <w:numPr>
          <w:ilvl w:val="0"/>
          <w:numId w:val="3"/>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10"/>
        <w:keepNext w:val="0"/>
        <w:keepLines w:val="0"/>
        <w:widowControl w:val="0"/>
        <w:numPr>
          <w:ilvl w:val="0"/>
          <w:numId w:val="3"/>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(далее - электронный запрос котировок) (часть 2 статьи 24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3 статьи 24 Закона о контрактной системе сказано, что для целей настоящего Федерального закона, электронный конкурс, электронный аукцион, электронный запрос котировок, закупка товара у единственного поставщика на сумму, предусмотренную частью 12 статьи 93 настоящего Федерального закона, считаются также электронными процедурами, а закрытый электронный конкурс, закрытый электронный аукцион - закрытыми электронными процедурами.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50 Закона о контрактной системе, гласит, что электронный запрос котировок начинается с размещения в единой информационной системе извещения об осуществлении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доводов 1, 2, 5 жалобы, 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идентификационный код закупки, определенный в соответствии со статьей 23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в соответствии с Федеральным законом от 29 декабря 2012 года К 275-ФЗ "О государственном оборонном заказе", которое не размещается на официальном сайте.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6 статьи 23 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1 части 1 статьи 33 Закона о контрактной системе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0"/>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0"/>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0"/>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w:t>
      </w:r>
      <w:r>
        <w:rPr>
          <w:color w:val="000000"/>
          <w:spacing w:val="0"/>
          <w:w w:val="100"/>
          <w:position w:val="0"/>
          <w:shd w:val="clear" w:color="auto" w:fill="auto"/>
          <w:lang w:val="ru-RU" w:eastAsia="ru-RU" w:bidi="ru-RU"/>
        </w:rPr>
        <w:t>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(пункт 5 части 1 статьи 42 Закона о контрактной системе).</w:t>
      </w:r>
    </w:p>
    <w:p>
      <w:pPr>
        <w:pStyle w:val="Style10"/>
        <w:keepNext w:val="0"/>
        <w:keepLines w:val="0"/>
        <w:widowControl w:val="0"/>
        <w:shd w:val="clear" w:color="auto" w:fill="auto"/>
        <w:tabs>
          <w:tab w:pos="1728" w:val="left"/>
          <w:tab w:pos="4022" w:val="left"/>
          <w:tab w:pos="4507" w:val="left"/>
          <w:tab w:pos="6730" w:val="left"/>
          <w:tab w:pos="7632" w:val="left"/>
          <w:tab w:pos="8746" w:val="left"/>
          <w:tab w:pos="909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 145 (далее - Постановление № 145) утверждены Правила формирования и ведения в единой информационной системе в сфере закупок каталога товаров, работ, услуг для обеспечения</w:t>
        <w:tab/>
        <w:t>государственных</w:t>
        <w:tab/>
        <w:t>и</w:t>
        <w:tab/>
        <w:t>муниципальных</w:t>
        <w:tab/>
        <w:t>нужд</w:t>
        <w:tab/>
        <w:t>(далее</w:t>
        <w:tab/>
        <w:t>-</w:t>
        <w:tab/>
        <w:t>Правила</w:t>
      </w:r>
    </w:p>
    <w:p>
      <w:pPr>
        <w:pStyle w:val="Style10"/>
        <w:keepNext w:val="0"/>
        <w:keepLines w:val="0"/>
        <w:widowControl w:val="0"/>
        <w:shd w:val="clear" w:color="auto" w:fill="auto"/>
        <w:tabs>
          <w:tab w:pos="1728" w:val="left"/>
          <w:tab w:pos="4022" w:val="left"/>
          <w:tab w:pos="4507" w:val="left"/>
          <w:tab w:pos="6730" w:val="left"/>
          <w:tab w:pos="7632" w:val="left"/>
          <w:tab w:pos="8746" w:val="left"/>
          <w:tab w:pos="9091" w:val="left"/>
        </w:tabs>
        <w:bidi w:val="0"/>
        <w:spacing w:before="0" w:after="0" w:line="240" w:lineRule="auto"/>
        <w:ind w:left="0" w:right="0" w:firstLine="0"/>
        <w:jc w:val="both"/>
      </w:pPr>
      <w:r>
        <w:rPr>
          <w:color w:val="000000"/>
          <w:spacing w:val="0"/>
          <w:w w:val="100"/>
          <w:position w:val="0"/>
          <w:shd w:val="clear" w:color="auto" w:fill="auto"/>
          <w:lang w:val="ru-RU" w:eastAsia="ru-RU" w:bidi="ru-RU"/>
        </w:rPr>
        <w:t>формирования КТРУ) и Правила использования каталога товаров, работ, услуг для обеспечения</w:t>
        <w:tab/>
        <w:t>государственных</w:t>
        <w:tab/>
        <w:t>и</w:t>
        <w:tab/>
        <w:t>муниципальных</w:t>
        <w:tab/>
        <w:t>нужд</w:t>
        <w:tab/>
        <w:t>(далее</w:t>
        <w:tab/>
        <w:t>-</w:t>
        <w:tab/>
        <w:t>Правила</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использования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«б» пункта 2 Правил использования КТРУ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Правил использования КТРУ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К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7"/>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товара, работы, услуги;</w:t>
      </w:r>
    </w:p>
    <w:p>
      <w:pPr>
        <w:pStyle w:val="Style10"/>
        <w:keepNext w:val="0"/>
        <w:keepLines w:val="0"/>
        <w:widowControl w:val="0"/>
        <w:numPr>
          <w:ilvl w:val="0"/>
          <w:numId w:val="7"/>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7"/>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закупки является поставка медицинских изделий (Система исследования сосудов ультразвуковая неинвазивная, с питанием от батареи)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извещении о проведении запроса котировок в электронной форме установлен код КТРУ 26.60.12.132-00000017 «Система исследования сосудов ультразвуковая неинвазивная, с питанием от батареи».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что Заказчик вправе выбрать тот код КТРУ, который соответствует его потребностям. Закон о контрактной системе не содержит требований, устанавливающих обязательный порядок определения в извещении об осуществлении закупки кода согласно Каталогу товаров, работ, услуг для обеспечения государственных и муниципальных нужд. Определение кода КТРУ осуществляется Заказчиком путем отнесения объекта закупки к соответствующему коду КТРУ с учетом специфики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Заказчики самостоятельно определяют код КТРУ как наиболее подходящий объекту закупки, исходя из собственных потребностей и особенностей закупаемого товара.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нормой пункта 4 Правил использования КТРУ Заказчиком не установлено требование о соответствии поставляемого оборудования кодам согласно российским и международным системам классификации, каталогизации (в т.ч. коду НКМИ). Оценка предлагаемого оборудования на соответствие коду НКМИ и его описанию комиссией по осуществлению закупок не осуществляется.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Номенклатурная классификация медицинских изделий по видам (далее - классификация) предназначена для идентификации медицинских изделий в целях государственной регистрации и обеспечения достоверности, сопоставимости, автоматизированной обработки информации в целях осуществления сотрудничества и обмена данными, в том числе на международном уровне, методу заинтересованными сторонами, такими как законодательные органы, производители, поставщики и конечные пользователи, а также в целях обеспечения мониторинга безопасности медицинских изделий.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Классификация содержит сведения о видах медицинских изделий и предусматривает использование специализированного программного обеспечения, позволяющего производить поиск вида медицинского изделия по классификационным признакам, или по их совокупности, по Полному наименованию вида, по части наименования или по кодам вида.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Для классификации используются кодовые обозначения и термины, адаптированные к общепринятой международной терминологии с учетом терминологии национальных стандартов, классификаторов, других нормативных документов, позволяющие идентифицировать и группировать медицинские изделия по видам с учетом наименований и описаний видов в регуляторных и иных целях.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Данные сведения изложены в Письме Минздрава России от 12.04.2013 К 2041548/25-3 «По вопросу об определении числового обозначения (шестизначного номера) и вида медицинских изделий при номенклатурной классификации медицинских изделий», из которого однозначно следует, что назначение классификации заключается в идентификации медицинского изделия при его государственной регистрации. Из этого же следует, что иной смысловой нагрузки, в контексте требований Закона о контрактной системе, код вида медицинского изделия не содержит, поскольку:</w:t>
      </w:r>
    </w:p>
    <w:p>
      <w:pPr>
        <w:pStyle w:val="Style10"/>
        <w:keepNext w:val="0"/>
        <w:keepLines w:val="0"/>
        <w:widowControl w:val="0"/>
        <w:numPr>
          <w:ilvl w:val="0"/>
          <w:numId w:val="9"/>
        </w:numPr>
        <w:shd w:val="clear" w:color="auto" w:fill="auto"/>
        <w:tabs>
          <w:tab w:pos="11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является качественной, функциональной, технологической и эксплуатационной характеристикой медицинского изделия;</w:t>
      </w:r>
    </w:p>
    <w:p>
      <w:pPr>
        <w:pStyle w:val="Style10"/>
        <w:keepNext w:val="0"/>
        <w:keepLines w:val="0"/>
        <w:widowControl w:val="0"/>
        <w:numPr>
          <w:ilvl w:val="0"/>
          <w:numId w:val="9"/>
        </w:numPr>
        <w:shd w:val="clear" w:color="auto" w:fill="auto"/>
        <w:tabs>
          <w:tab w:pos="11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 является документом (способом), позволяющим удостовериться в соответствии товара требованиям законодательства Российской Федерации - поскольку таковым документом является регистрационное удостоверение.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указанная справочная информация (в том числе информация о коде НКМИ, его описание) не образует описания объекта закупки в понимании статьи 33 Закона о контрактной системе. Аналогичную правовую позицию изложило Министерство финансов Российской Федерации в письме от 04.09.2020 № 24-06- 08/77872, письме от 23.03.2020 № 24-06-07/22512, письме от 21.01.2020 № 24-06- 07/2815.</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Вышеуказанная позиция также подтверждается письмом ФАС России от 14.10.2022 г. № ПИ/28/94979/22, согласно которому «различие кода МИ, указанного в заявке участника закупки и кода МИ, указанного в позиции КТРУ, не установлено Законом о контрактной системе в качестве основания для отклонения участника закупки в случае, если характеристики медицинского оборудования, предложенные участником закупки, соответствуют параметрам, установленным Заказчиком в Описании объекта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Соответственно, участники закупки вправе предлагать товар, соответствующий установленным Заказчиком характеристикам, при этом, в регистрационном удостоверении НКМИ предложенного товара не должен совпадать с НКМИ в позиции каталога.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Более того, присвоение кода номенклатурной классификации медицинского изделия носит заявительный характер и при необходимости такой код может быть изменен по заявлению производителя или его официального представителя. Отнесение предлагаемого к поставке товара к тому или иному коду номенклатурной классификации является оценочным критерием и не изменяет его технических и качественных характеристик.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Законом о контрактной системе и Постановлением № 145 не предусмотрено каких-либо императивных требований по выбору конкретного кода позиции КТРУ, в том числе, обязанности руководствоваться при выборе КТРУ исключительно справочной информацией о коде номенклатурной классификации медицинских изделий, указанной в каталоге.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самостоятельно принимает решение при формировании предмета размещенного заказа и его характеристик, имеющих принципиальное значение для закупки данного оборудования. В каждом конкретном случае Заказчик формирует требования к товару исходя из особенностей его использования и имеющихся потребностей.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Проанализировав материалы дела, Комиссия Курганского УФАС России приходит к выводу, что код КТРУ Заказчиком определен правомерно в соответствии с потребностью учреждения, доводы жалобы признана необоснованными.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доводов 3, 4, 6, 8 жалобы, 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0"/>
        <w:keepNext w:val="0"/>
        <w:keepLines w:val="0"/>
        <w:widowControl w:val="0"/>
        <w:numPr>
          <w:ilvl w:val="0"/>
          <w:numId w:val="11"/>
        </w:numPr>
        <w:shd w:val="clear" w:color="auto" w:fill="auto"/>
        <w:tabs>
          <w:tab w:pos="11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К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К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0"/>
        <w:keepNext w:val="0"/>
        <w:keepLines w:val="0"/>
        <w:widowControl w:val="0"/>
        <w:numPr>
          <w:ilvl w:val="0"/>
          <w:numId w:val="11"/>
        </w:numPr>
        <w:shd w:val="clear" w:color="auto" w:fill="auto"/>
        <w:tabs>
          <w:tab w:pos="116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пункта 6 Правил использования КТРУ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Заказчиком установлены код КТРУ 26.60.12.132</w:t>
        <w:softHyphen/>
        <w:t>00000017 «Система исследования сосудов ультразвуковая неинвазивная, с питанием от батареи».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сведениям из каталога товаров, работ, услуг, размещенного в ЕИС, по коду КТРУ 26.60.12.132-00000017 характеристики товара не установлены, в связи с чем, Заказчик установил значимые для него требования к функциональным, техническим и качественным характеристикам медицинского изделия исходя из своих потребностей.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случае, когда позиция КТРУ, применяемая Заказчиком, не содержит в себе характеристики, обоснование необходимости использования значимых характеристик, установленных при Описании объекта закупки, не требуется.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своей жалобе Заявитель ссылается на неправомерность установления ряда избыточных требований к объекту закупки, в виде требования о наличии «планшета», «сумки для транспортировки», которые влекут за собой ограничение конкуренции.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представитель Заказчика пояснил Комиссии Курганского УФАС России, что при формировании Описания объекта закупки Заказчиком был проведен анализ рынка, вследствие чего, под установленные требования подпадает товары двух производителей: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Система ультразвуковая диагностическая ЕЛС500 Мини (РУ № РЗН 2021/14456 от 02.03.2022 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Беспроводной УЗИ сканер Ш1ч датчик 8опо81аг ^ргоЪе-С5Р^ (РУ № РЗН 2022/16672 от 10.03.2022 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Для подтверждения указанного, Заказчиком в материалы дела была представлена сравнительная таблица, из которой следует, что оба медицинских изделия отвечают потребностям Заказчика и могут быть поставлены в рамках данной закупки. Сравнительная таблица основана на руководствах по эксплуатации указанного оборудования.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требования о наличии «планшета» представитель Заказчика пояснил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Любая система ультразвуковой визуализации поставляется с устройством, на которое должно передаваться получаемое изображение. Благодаря дисплею можно увидеть изображения исследуемого органа и окружающих его тканей и структур. Следовательно, чем дисплей визуализирующего устройства больше, тем лучше можно рассмотреть ткани и органы пациента. Для улучшения качества изображения аппарат УЗИ аппараты оснащены радиочастотным усилителем, видеоусилителем и акустическим усилителем.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Получение изображения с высоким разрешением на большом экране с наименьшей степенью зернистости усиливает клиническую значимость проводимого исследования и упрощает процесс проведение исследования.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Возможность поставки УЗИ аппарата с планшетом предусмотрено как в оборудовании ВопоВ1аг иргоЬе~С5РЕ (стр. 5 руководства по эксплуатации) так и в ЕЛС500Мини (стр. 86 руководства по эксплуатации).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требования о наличии «сумки для транспортировки» представитель Заказчика также отметил, что наличие транспортировочной сумки (пакета, кейса) у обоих производителей подтверждается информацией из документации, размещенной на сайте Росздравнадзора:</w:t>
      </w:r>
    </w:p>
    <w:p>
      <w:pPr>
        <w:pStyle w:val="Style10"/>
        <w:keepNext w:val="0"/>
        <w:keepLines w:val="0"/>
        <w:widowControl w:val="0"/>
        <w:numPr>
          <w:ilvl w:val="0"/>
          <w:numId w:val="13"/>
        </w:numPr>
        <w:shd w:val="clear" w:color="auto" w:fill="auto"/>
        <w:tabs>
          <w:tab w:pos="9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регистрационном удостоверении № РНЗ 2021/14456 от 02.03.2022 г. размещенном на сайте Росздравнадзора на товар система ультразвуковой визуализации ЕЛС500Мини на стр. 5 РУ в состав медицинского изделия входит сумка для переноски;</w:t>
      </w:r>
    </w:p>
    <w:p>
      <w:pPr>
        <w:pStyle w:val="Style10"/>
        <w:keepNext w:val="0"/>
        <w:keepLines w:val="0"/>
        <w:widowControl w:val="0"/>
        <w:numPr>
          <w:ilvl w:val="0"/>
          <w:numId w:val="13"/>
        </w:numPr>
        <w:shd w:val="clear" w:color="auto" w:fill="auto"/>
        <w:tabs>
          <w:tab w:pos="99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Руководстве пользователя 8опо81аг ^ргоЪе-С5Р^ на стр. 8 также содержится информация о принадлежностях к медицинскому изделию в том числе сумке (пакете) предназначенной для удобства транспортировки.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не приходится говорить о том, что данные требования являются избыточными и ограничивают конкуренцию.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доводы жалобы признаны Комиссией необоснованными.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доводов жалобы 7, 9 Комиссия Курганского УФАС России отмечает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толкования положений статьи 33 Закона о контрактной системе, при описании объекта закупки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Заказчик вправе в необходимой степени детализировать требования к товару, работе, услуге.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Аналогичная правовая позиция отражена в судебной практике (Постановление Арбитражного суда Уральского округа от 06.04.2023 № Ф09-1213/23 по делу № А34- 12851/2021, Постановление Арбитражного суда Западно-Сибирского округа от 13.04.2023 № Ф04-1209/2023 по делу № А81-8369/2022).</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Соответственно, на основании действующего законодательства в сфере закупок Заказчик вправе включить в Описание объекта закупки такие характеристики и требования к товару, которые отвечают его потребностям и необходимы для выполнения соответствующих функций, детализируя в необходимой степени предмет закупок, то есть при описании товара Заказчик вправе указывать качественные параметры к объекту закупок, которые являются определяющими для него.</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Факт установления Заказчиком требований к определенным характеристикам товара не свидетельствует об ограничении количества участников конкурентной процедуры, а определяется потребностями Заказчика в медицинских изделиях с конкретными свойствами.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Российской Федерации 28.06.2017,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w:t>
      </w:r>
      <w:r>
        <w:rPr>
          <w:color w:val="000000"/>
          <w:spacing w:val="0"/>
          <w:w w:val="100"/>
          <w:position w:val="0"/>
          <w:shd w:val="clear" w:color="auto" w:fill="auto"/>
          <w:lang w:val="ru-RU" w:eastAsia="ru-RU" w:bidi="ru-RU"/>
        </w:rPr>
        <w:t>специфики использования такого товара, не может рассматриваться как ограничение круга потенциальных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требования о наличии трех сканирующих поверхностях, представитель Заказчика пояснил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Конструктивное исполнение датчика - две сканирующих поверхности, при этом, одна из сканирующих поверхностей имеет возможность фазироваться (отключаться при переключении режима боковые пьезоэлементы), следовательно, возможность исследований, таких как кардиология, присутствует на датчике, что соответствует требования объекта закупки, и не нарушает собой конструктивное исполнение добавляя еще одну скан поверхность, которая находится на контекстной поверхности.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Иными словами, особенности оборудования позволяют при нажатии кнопки, отключать одни датчики, которые заменяются другими и создают дополнительную поверхность сканирования.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параметру «максимальная глубина визуализации» Заказчик также отметил, что требование к максимальной глубине визуализации, обосновано тем, что данный параметр напрямую влияет на качество получаемого изображения.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Особенности телосложения, ожирение, возраст пациента часто мешают медперсоналу добиться отчетливой визуализации тканей в области сканирования. Управляя ультразвуковой системой, можно изменять глубину и область сканирования самостоятельно вручную. Эти изменения производят только при необходимости, поскольку большая область сканирования или глубина влияют на частоту кадров.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данное требование не противоречит показателям, указанным в руководствах по эксплуатации, поскольку указанная характеристика входит в диапазоны, заявленные производителем (руководство пользователя 8опо8!аг иргоЪе- С5Р^ на стр. 14; руководство пользователя ЕЛС500Мини на стр. 46, 48).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чем выше показатель максимальной глубины сканирования, тем проще медицинскому персоналу проводить исследования на пациентах с особенностями телосложения и тем выше качество получаемого изображения, что напрямую влияет на качество оказанной услуги. В этой связи, считаем довод Заявителя об избыточности показателя «максимальная глубина сканирования» необоснованным.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подготовке описания объекта закупки Заказчик также руководствовался положениями ГОСТ Р 56331-2014 «Изделия медицинские электрические. Изделия медицинские ультразвуковые диагностические. Технические требования для государственных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что Заказчик, являясь медицинским учреждением установил требования к товару с учетом собственных потребностей и исходя из специфики осуществляемого вида деятельности, что не противоречит положениям Закона о контрактной системе и не направлены на ограничение числа потенциальных участников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образом, установив вышеуказанные требования, Заказчик фактически обозначил конкретные характеристики товара, потребность в которых обусловлена </w:t>
      </w:r>
      <w:r>
        <w:rPr>
          <w:color w:val="000000"/>
          <w:spacing w:val="0"/>
          <w:w w:val="100"/>
          <w:position w:val="0"/>
          <w:shd w:val="clear" w:color="auto" w:fill="auto"/>
          <w:lang w:val="ru-RU" w:eastAsia="ru-RU" w:bidi="ru-RU"/>
        </w:rPr>
        <w:t>спецификой его деятельности, следовательно, оспариваемые положения не противоречат Закону о контрактной системе.</w:t>
      </w:r>
    </w:p>
    <w:p>
      <w:pPr>
        <w:pStyle w:val="Style10"/>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Данные доводы Заявителя не нашли своего подтверждения и признаны необоснованными.</w:t>
      </w:r>
    </w:p>
    <w:p>
      <w:pPr>
        <w:pStyle w:val="Style10"/>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0"/>
        <w:keepNext w:val="0"/>
        <w:keepLines w:val="0"/>
        <w:widowControl w:val="0"/>
        <w:shd w:val="clear" w:color="auto" w:fill="auto"/>
        <w:bidi w:val="0"/>
        <w:spacing w:before="0" w:after="300" w:line="240" w:lineRule="auto"/>
        <w:ind w:left="0" w:right="0" w:firstLine="820"/>
        <w:jc w:val="both"/>
      </w:pPr>
      <w:r>
        <w:rPr>
          <w:color w:val="000000"/>
          <w:spacing w:val="0"/>
          <w:w w:val="100"/>
          <w:position w:val="0"/>
          <w:shd w:val="clear" w:color="auto" w:fill="auto"/>
          <w:lang w:val="ru-RU" w:eastAsia="ru-RU" w:bidi="ru-RU"/>
        </w:rPr>
        <w:t>Исследовав предоставленные материалы, руководствуясь статьями 99, 105, 106 Закона о контрактной системе, Комиссией Курганского УФАС России,</w:t>
      </w:r>
    </w:p>
    <w:p>
      <w:pPr>
        <w:pStyle w:val="Style10"/>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0"/>
        <w:keepNext w:val="0"/>
        <w:keepLines w:val="0"/>
        <w:widowControl w:val="0"/>
        <w:shd w:val="clear" w:color="auto" w:fill="auto"/>
        <w:bidi w:val="0"/>
        <w:spacing w:before="0" w:after="300" w:line="240" w:lineRule="auto"/>
        <w:ind w:left="0" w:right="0" w:firstLine="820"/>
        <w:jc w:val="both"/>
      </w:pPr>
      <w:r>
        <w:rPr>
          <w:color w:val="000000"/>
          <w:spacing w:val="0"/>
          <w:w w:val="100"/>
          <w:position w:val="0"/>
          <w:shd w:val="clear" w:color="auto" w:fill="auto"/>
          <w:lang w:val="ru-RU" w:eastAsia="ru-RU" w:bidi="ru-RU"/>
        </w:rPr>
        <w:t>Признать жалобу Общества с ограниченной ответственностью «АМЕД» необоснованной.</w:t>
      </w:r>
    </w:p>
    <w:p>
      <w:pPr>
        <w:pStyle w:val="Style10"/>
        <w:keepNext w:val="0"/>
        <w:keepLines w:val="0"/>
        <w:widowControl w:val="0"/>
        <w:shd w:val="clear" w:color="auto" w:fill="auto"/>
        <w:bidi w:val="0"/>
        <w:spacing w:before="0" w:after="600" w:line="240" w:lineRule="auto"/>
        <w:ind w:left="0" w:right="0" w:firstLine="820"/>
        <w:jc w:val="both"/>
        <w:rPr>
          <w:sz w:val="26"/>
          <w:szCs w:val="26"/>
        </w:rPr>
      </w:pPr>
      <w:r>
        <w:rPr>
          <w:i/>
          <w:iCs/>
          <w:color w:val="000000"/>
          <w:spacing w:val="0"/>
          <w:w w:val="100"/>
          <w:position w:val="0"/>
          <w:sz w:val="26"/>
          <w:szCs w:val="26"/>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0"/>
        <w:keepNext w:val="0"/>
        <w:keepLines w:val="0"/>
        <w:widowControl w:val="0"/>
        <w:shd w:val="clear" w:color="auto" w:fill="auto"/>
        <w:tabs>
          <w:tab w:leader="underscore" w:pos="7450" w:val="left"/>
        </w:tabs>
        <w:bidi w:val="0"/>
        <w:spacing w:before="0" w:after="300" w:line="240" w:lineRule="auto"/>
        <w:ind w:left="0" w:right="0" w:firstLine="0"/>
        <w:jc w:val="both"/>
      </w:pPr>
      <w:r>
        <w:rPr>
          <w:color w:val="00000A"/>
          <w:spacing w:val="0"/>
          <w:w w:val="100"/>
          <w:position w:val="0"/>
          <w:shd w:val="clear" w:color="auto" w:fill="auto"/>
          <w:lang w:val="ru-RU" w:eastAsia="ru-RU" w:bidi="ru-RU"/>
        </w:rPr>
        <w:t xml:space="preserve">Заместитель Председателя Комиссии: </w:t>
        <w:tab/>
        <w:t>/ А.В. Иванова</w:t>
      </w:r>
    </w:p>
    <w:p>
      <w:pPr>
        <w:pStyle w:val="Style10"/>
        <w:keepNext w:val="0"/>
        <w:keepLines w:val="0"/>
        <w:widowControl w:val="0"/>
        <w:shd w:val="clear" w:color="auto" w:fill="auto"/>
        <w:tabs>
          <w:tab w:leader="underscore" w:pos="2386" w:val="left"/>
        </w:tabs>
        <w:bidi w:val="0"/>
        <w:spacing w:before="0" w:after="300" w:line="240" w:lineRule="auto"/>
        <w:ind w:left="0" w:right="820" w:firstLine="0"/>
        <w:jc w:val="right"/>
      </w:pPr>
      <w:r>
        <mc:AlternateContent>
          <mc:Choice Requires="wps">
            <w:drawing>
              <wp:anchor distT="0" distB="0" distL="114300" distR="114300" simplePos="0" relativeHeight="125829382" behindDoc="0" locked="0" layoutInCell="1" allowOverlap="1">
                <wp:simplePos x="0" y="0"/>
                <wp:positionH relativeFrom="page">
                  <wp:posOffset>664845</wp:posOffset>
                </wp:positionH>
                <wp:positionV relativeFrom="paragraph">
                  <wp:posOffset>12700</wp:posOffset>
                </wp:positionV>
                <wp:extent cx="1374775" cy="252730"/>
                <wp:wrapSquare wrapText="bothSides"/>
                <wp:docPr id="9" name="Shape 9"/>
                <a:graphic xmlns:a="http://schemas.openxmlformats.org/drawingml/2006/main">
                  <a:graphicData uri="http://schemas.microsoft.com/office/word/2010/wordprocessingShape">
                    <wps:wsp>
                      <wps:cNvSpPr txBox="1"/>
                      <wps:spPr>
                        <a:xfrm>
                          <a:ext cx="1374775"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5" type="#_x0000_t202" style="position:absolute;margin-left:52.350000000000001pt;margin-top:1.pt;width:108.25pt;height:19.900000000000002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A"/>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A"/>
          <w:spacing w:val="0"/>
          <w:w w:val="100"/>
          <w:position w:val="0"/>
          <w:shd w:val="clear" w:color="auto" w:fill="auto"/>
          <w:lang w:val="ru-RU" w:eastAsia="ru-RU" w:bidi="ru-RU"/>
        </w:rPr>
        <w:tab/>
        <w:t>/ И.М. Стрижова</w:t>
      </w:r>
    </w:p>
    <w:p>
      <w:pPr>
        <w:pStyle w:val="Style10"/>
        <w:keepNext w:val="0"/>
        <w:keepLines w:val="0"/>
        <w:widowControl w:val="0"/>
        <w:shd w:val="clear" w:color="auto" w:fill="auto"/>
        <w:tabs>
          <w:tab w:leader="underscore" w:pos="2386" w:val="left"/>
        </w:tabs>
        <w:bidi w:val="0"/>
        <w:spacing w:before="0" w:after="300" w:line="240" w:lineRule="auto"/>
        <w:ind w:left="0" w:right="820" w:firstLine="0"/>
        <w:jc w:val="right"/>
      </w:pPr>
      <w:r>
        <w:rPr>
          <w:color w:val="00000A"/>
          <w:spacing w:val="0"/>
          <w:w w:val="100"/>
          <w:position w:val="0"/>
          <w:shd w:val="clear" w:color="auto" w:fill="auto"/>
          <w:lang w:val="ru-RU" w:eastAsia="ru-RU" w:bidi="ru-RU"/>
        </w:rPr>
        <w:tab/>
        <w:t>/ М.П. Чеботина</w:t>
      </w:r>
    </w:p>
    <w:sectPr>
      <w:footerReference w:type="default" r:id="rId9"/>
      <w:footerReference w:type="first" r:id="rId10"/>
      <w:footnotePr>
        <w:pos w:val="pageBottom"/>
        <w:numFmt w:val="decimal"/>
        <w:numRestart w:val="continuous"/>
      </w:footnotePr>
      <w:pgSz w:w="11900" w:h="16840"/>
      <w:pgMar w:top="1105" w:right="499" w:bottom="1207" w:left="1057"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10016490</wp:posOffset>
              </wp:positionV>
              <wp:extent cx="563880" cy="100330"/>
              <wp:wrapNone/>
              <wp:docPr id="11" name="Shape 11"/>
              <a:graphic xmlns:a="http://schemas.openxmlformats.org/drawingml/2006/main">
                <a:graphicData uri="http://schemas.microsoft.com/office/word/2010/wordprocessingShape">
                  <wps:wsp>
                    <wps:cNvSpPr txBox="1"/>
                    <wps:spPr>
                      <a:xfrm>
                        <a:ext cx="5638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2024-123</w:t>
                          </w:r>
                        </w:p>
                      </w:txbxContent>
                    </wps:txbx>
                    <wps:bodyPr wrap="none" lIns="0" tIns="0" rIns="0" bIns="0">
                      <a:spAutoFit/>
                    </wps:bodyPr>
                  </wps:wsp>
                </a:graphicData>
              </a:graphic>
            </wp:anchor>
          </w:drawing>
        </mc:Choice>
        <mc:Fallback>
          <w:pict>
            <v:shape id="_x0000_s1037" type="#_x0000_t202" style="position:absolute;margin-left:56.800000000000004pt;margin-top:788.70000000000005pt;width:44.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9857740</wp:posOffset>
              </wp:positionV>
              <wp:extent cx="563880" cy="100330"/>
              <wp:wrapNone/>
              <wp:docPr id="13" name="Shape 13"/>
              <a:graphic xmlns:a="http://schemas.openxmlformats.org/drawingml/2006/main">
                <a:graphicData uri="http://schemas.microsoft.com/office/word/2010/wordprocessingShape">
                  <wps:wsp>
                    <wps:cNvSpPr txBox="1"/>
                    <wps:spPr>
                      <a:xfrm>
                        <a:ext cx="56388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2024-123</w:t>
                          </w:r>
                        </w:p>
                      </w:txbxContent>
                    </wps:txbx>
                    <wps:bodyPr wrap="none" lIns="0" tIns="0" rIns="0" bIns="0">
                      <a:spAutoFit/>
                    </wps:bodyPr>
                  </wps:wsp>
                </a:graphicData>
              </a:graphic>
            </wp:anchor>
          </w:drawing>
        </mc:Choice>
        <mc:Fallback>
          <w:pict>
            <v:shape id="_x0000_s1039" type="#_x0000_t202" style="position:absolute;margin-left:57.050000000000004pt;margin-top:776.20000000000005pt;width:44.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2024-123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2"/>
      <w:szCs w:val="42"/>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420" w:line="281"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280"/>
      <w:outlineLvl w:val="0"/>
    </w:pPr>
    <w:rPr>
      <w:rFonts w:ascii="Arial" w:eastAsia="Arial" w:hAnsi="Arial" w:cs="Arial"/>
      <w:b w:val="0"/>
      <w:bCs w:val="0"/>
      <w:i w:val="0"/>
      <w:iCs w:val="0"/>
      <w:smallCaps w:val="0"/>
      <w:strike w:val="0"/>
      <w:sz w:val="42"/>
      <w:szCs w:val="42"/>
      <w:u w:val="none"/>
    </w:rPr>
  </w:style>
  <w:style w:type="paragraph" w:customStyle="1" w:styleId="Style19">
    <w:name w:val="Другое"/>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