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1о77@(а8.еоу.ги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5.01.2024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1042/24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эндокринологии»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Минздрава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хакирку@епдосппсеп1т.ги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«БЕЛМЕДИЗДЕЛИЕ»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1епНегЬе1теН@Ыс1Ь.ги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482" w:bottom="708" w:left="1303" w:header="0" w:footer="3" w:gutter="0"/>
          <w:pgNumType w:start="1"/>
          <w:cols w:num="2" w:space="109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5" w:after="9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6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077/06/106-18664/2023 о нарушении</w:t>
        <w:br/>
        <w:t>законодательства о контрактной системе</w:t>
        <w:br/>
        <w:t>12.01.2024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эндокринологии» Минздрава России: Е.И. Мальцевой (по дов. № 395 от 25.09.2023),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«БЕЛМЕДИЗДЕЛИЕ»,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«БЕЛМЕДИЗДЕЛИЕ» (далее — Заявитель) на действия ФГБУ «НМИЦ эндокринологии» Минздрава России (далее — Заказчик) при проведении электронного аукциона на право заключения государственного контракта на поставку геля (Закупка № 0373100059323000648)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300" w:lineRule="auto"/>
        <w:ind w:left="0" w:right="0" w:firstLine="72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3" w:bottom="612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2024-1262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По мнению Заявителя, совокупности установленных параметров к закупаемым товарам по пп.7-8 «Гель контактный, нестерильный» не позволяют участникам закупки подобрать соответствующий товар, поскольку товар единственного производителя 1чаЬ, Италия, эксклюзивным дистрибьютером которого является ООО «Вилорд», с характеристиками, заявленными в Техническом задании в свободном доступе на рынке Российской Федерации отсутствует, при этом ограничивающими требованиями к поставке иного производителя являются, в частности такие характеристики как: «Ширина», «Длина», «Толщина».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 закупаемым товарам по пп. 7-8 «Гель контактный, нестерильный» с характеристиками, заявленными в техническом задании соответствуют товары нескольких производителей.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Комиссия Управления отмечает, что Заказчиком на заседании Комиссии Управления не представлено каких-либо письменных документов и сведений, подтверждающих факт присутствия на рынке продукции, отвечающей всей совокупности установленных Заказчиком требований по пп. 7-8 «Гель контактный, нестерильный» Технического задания.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вышеизложенного Комиссия Управления приходит к выводу о нарушении п.1 ч.1 ст.33 Закона о контрактной системе, что также содержит признаки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состава административного правонарушения, ответственность за которое предусмотрена ч.4.2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 составе жалобы Заявитель также указывает, что Заказчиком в Техническом задании установлено требование по п. 7-8 «Гель контактный, нестерильный», а именно: «Соответствие стандартам: Директива 93/42/СЕЕ (Э.Ь. 46/97). Класс устройств I: Соответствие» без обоснования необходимости использования такого требования, поскольку, в соответствии со ст.33 Закона о контрактной системе,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по пп. 7-8 «Гель контактный, нестерильный» Заказчиком установлено требование «Соответствие стандартам: Директива 93/42/СЕЕ (Э.Ь. 46/97). Класс устройств I: Соответствие», при этом в графе «Обоснование включения параметра» указано: «Соответствие изделия требованиям нормативных документов гарантирует безопасность изделия».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Техническом задании Заказчиком, в соответствии с положениями ст.33 Закона о контрактной системе, включено обоснование требуемых характеристик.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случае если при составлении описания объекта закупки Заказчиком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Комиссия Управления отмечает, что в графе «Обоснование включения параметра» Технического задания размещено обоснование установления требования: «Соответствие стандартам: Директива 93/42/СЕЕ (р.Ь. 46/97). Класс устройств I: Соответствие», что соответствует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«БЕЛМЕДИЗДЕЛИЕ» на действия ГБУЗ «ГКБ им. В.В. Вересаева ДЗМ» обоснованной в части установления параметров к закупаемым товарам по пп. 7-8 «Гель контактный, нестерильный» не позволяющих подобрать соответствующий товар.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нарушения п.1 ч.1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31" w:bottom="1201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3835" distL="0" distR="0" simplePos="0" relativeHeight="125829379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700000000000003pt;margin-top:26.pt;width:145.70000000000002pt;height:19.699999999999999pt;z-index:-125829374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1640" distB="0" distL="0" distR="1807210" simplePos="0" relativeHeight="125829381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421640</wp:posOffset>
            </wp:positionV>
            <wp:extent cx="311150" cy="36576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491490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30000000000001pt;margin-top:38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3835" distL="0" distR="0" simplePos="0" relativeHeight="125829382" behindDoc="0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330200</wp:posOffset>
                </wp:positionV>
                <wp:extent cx="118237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5.30000000000001pt;margin-top:26.pt;width:93.100000000000009pt;height:19.699999999999999pt;z-index:-125829371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00Е9СРАА6СО6САО20С424А9502ЕС296Е8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90000000000003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30000000000001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D7D7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0.90000000000003pt;margin-top:36.55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30000000000001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643255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2024-1262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pt;margin-top:794.70000000000005pt;width:50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2024-1262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25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