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е-таИ: 1о51 @Гав.§оу.ги</w:t>
      </w:r>
    </w:p>
    <w:p>
      <w:pPr>
        <w:pStyle w:val="Style10"/>
        <w:keepNext/>
        <w:keepLines/>
        <w:widowControl w:val="0"/>
        <w:shd w:val="clear" w:color="auto" w:fill="auto"/>
        <w:tabs>
          <w:tab w:pos="1814"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7.01.2024</w:t>
        <w:tab/>
      </w:r>
      <w:r>
        <w:fldChar w:fldCharType="end"/>
      </w:r>
      <w:r>
        <w:rPr>
          <w:color w:val="000000"/>
          <w:spacing w:val="0"/>
          <w:w w:val="100"/>
          <w:position w:val="0"/>
          <w:shd w:val="clear" w:color="auto" w:fill="auto"/>
          <w:lang w:val="ru-RU" w:eastAsia="ru-RU" w:bidi="ru-RU"/>
        </w:rPr>
        <w:t>№ НК/187/24</w:t>
      </w:r>
      <w:bookmarkEnd w:id="0"/>
    </w:p>
    <w:p>
      <w:pPr>
        <w:widowControl w:val="0"/>
        <w:jc w:val="center"/>
        <w:rPr>
          <w:sz w:val="2"/>
          <w:szCs w:val="2"/>
        </w:rPr>
      </w:pPr>
      <w:r>
        <w:drawing>
          <wp:inline>
            <wp:extent cx="2597150" cy="82931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829310"/>
                    </a:xfrm>
                    <a:prstGeom prst="rect"/>
                  </pic:spPr>
                </pic:pic>
              </a:graphicData>
            </a:graphic>
          </wp:inline>
        </w:drawing>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закупок» Гх44-сВутштаап8к@уапдех.ш</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Мурманское муниципальное казенное учреждение «Управление капитального строительства» (ММКУ УКС) икзтигтап@уапдех.ги</w:t>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94" w:right="1683" w:bottom="1222" w:left="1145" w:header="0" w:footer="3" w:gutter="0"/>
          <w:pgNumType w:start="1"/>
          <w:cols w:num="2" w:space="874"/>
          <w:noEndnote/>
          <w:titlePg/>
          <w:rtlGutter w:val="0"/>
          <w:docGrid w:linePitch="360"/>
        </w:sectPr>
      </w:pPr>
      <w:r>
        <w:rPr>
          <w:color w:val="000000"/>
          <w:spacing w:val="0"/>
          <w:w w:val="100"/>
          <w:position w:val="0"/>
          <w:sz w:val="24"/>
          <w:szCs w:val="24"/>
          <w:shd w:val="clear" w:color="auto" w:fill="auto"/>
          <w:lang w:val="ru-RU" w:eastAsia="ru-RU" w:bidi="ru-RU"/>
        </w:rPr>
        <w:t>ООО «Сириус Проект» тГо@8ти8-ргоек1.ш</w:t>
      </w:r>
    </w:p>
    <w:p>
      <w:pPr>
        <w:widowControl w:val="0"/>
        <w:spacing w:line="32" w:lineRule="exact"/>
        <w:rPr>
          <w:sz w:val="3"/>
          <w:szCs w:val="3"/>
        </w:rPr>
      </w:pPr>
    </w:p>
    <w:p>
      <w:pPr>
        <w:widowControl w:val="0"/>
        <w:spacing w:line="1" w:lineRule="exact"/>
        <w:sectPr>
          <w:footnotePr>
            <w:pos w:val="pageBottom"/>
            <w:numFmt w:val="decimal"/>
            <w:numRestart w:val="continuous"/>
          </w:footnotePr>
          <w:type w:val="continuous"/>
          <w:pgSz w:w="11900" w:h="16840"/>
          <w:pgMar w:top="330" w:right="0" w:bottom="1184"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делу № 051/06/106-879/2023</w:t>
      </w:r>
    </w:p>
    <w:p>
      <w:pPr>
        <w:pStyle w:val="Style12"/>
        <w:keepNext w:val="0"/>
        <w:keepLines w:val="0"/>
        <w:widowControl w:val="0"/>
        <w:shd w:val="clear" w:color="auto" w:fill="auto"/>
        <w:bidi w:val="0"/>
        <w:spacing w:before="0" w:after="24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5902325</wp:posOffset>
                </wp:positionH>
                <wp:positionV relativeFrom="paragraph">
                  <wp:posOffset>12700</wp:posOffset>
                </wp:positionV>
                <wp:extent cx="1097280" cy="216535"/>
                <wp:wrapSquare wrapText="left"/>
                <wp:docPr id="7" name="Shape 7"/>
                <a:graphic xmlns:a="http://schemas.openxmlformats.org/drawingml/2006/main">
                  <a:graphicData uri="http://schemas.microsoft.com/office/word/2010/wordprocessingShape">
                    <wps:wsp>
                      <wps:cNvSpPr txBox="1"/>
                      <wps:spPr>
                        <a:xfrm>
                          <a:ext cx="109728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wps:txbx>
                      <wps:bodyPr wrap="none" lIns="0" tIns="0" rIns="0" bIns="0">
                        <a:noAutoFit/>
                      </wps:bodyPr>
                    </wps:wsp>
                  </a:graphicData>
                </a:graphic>
              </wp:anchor>
            </w:drawing>
          </mc:Choice>
          <mc:Fallback>
            <w:pict>
              <v:shape id="_x0000_s1033" type="#_x0000_t202" style="position:absolute;margin-left:464.75pt;margin-top:1.pt;width:86.400000000000006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город Мурманск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12 января 2024 года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Председателя Комиссии Мурманского УФАС России: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Членов Комиссии Мурманского УФАС России: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Чоповской Н.И. - ведущего специалиста-эксперта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закупок» - и.о. директора Кизенковой Е.В., Смирновой И.А., действующей по доверенности,</w:t>
      </w:r>
    </w:p>
    <w:p>
      <w:pPr>
        <w:pStyle w:val="Style1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Мурманского муниципального казенного учреждения «Управление капитального строительства» (ММКУ УКС) - Терехиной О.В., действующей по доверенности,</w:t>
      </w:r>
    </w:p>
    <w:p>
      <w:pPr>
        <w:pStyle w:val="Style12"/>
        <w:keepNext w:val="0"/>
        <w:keepLines w:val="0"/>
        <w:widowControl w:val="0"/>
        <w:shd w:val="clear" w:color="auto" w:fill="auto"/>
        <w:bidi w:val="0"/>
        <w:spacing w:before="0" w:after="0" w:line="254" w:lineRule="auto"/>
        <w:ind w:left="0" w:right="0" w:firstLine="740"/>
        <w:jc w:val="both"/>
      </w:pPr>
      <w:r>
        <w:rPr>
          <w:color w:val="000000"/>
          <w:spacing w:val="0"/>
          <w:w w:val="100"/>
          <w:position w:val="0"/>
          <w:sz w:val="24"/>
          <w:szCs w:val="24"/>
          <w:shd w:val="clear" w:color="auto" w:fill="auto"/>
          <w:lang w:val="ru-RU" w:eastAsia="ru-RU" w:bidi="ru-RU"/>
        </w:rPr>
        <w:t>общества с ограниченной ответственностью «Сириус Проект» - директора Соловьева А.А.</w:t>
      </w:r>
    </w:p>
    <w:p>
      <w:pPr>
        <w:pStyle w:val="Style12"/>
        <w:keepNext w:val="0"/>
        <w:keepLines w:val="0"/>
        <w:widowControl w:val="0"/>
        <w:shd w:val="clear" w:color="auto" w:fill="auto"/>
        <w:bidi w:val="0"/>
        <w:spacing w:before="0" w:after="140" w:line="254" w:lineRule="auto"/>
        <w:ind w:left="0" w:right="0" w:firstLine="74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52/1 по улице Радищева в городе Мурманске. (Извещение № 0849300004923000612) (далее — Запрос котировок, Закупка) в соответствии со статьёй 106 Федерального закона от 05.04.2013 № 44-ФЗ «О контрактной системе в сфере закупок товаров,</w:t>
      </w:r>
    </w:p>
    <w:p>
      <w:pPr>
        <w:pStyle w:val="Style17"/>
        <w:keepNext/>
        <w:keepLines/>
        <w:widowControl w:val="0"/>
        <w:shd w:val="clear" w:color="auto" w:fill="auto"/>
        <w:bidi w:val="0"/>
        <w:spacing w:before="0" w:after="0" w:line="240" w:lineRule="auto"/>
        <w:ind w:left="0" w:right="0" w:firstLine="0"/>
        <w:jc w:val="left"/>
        <w:rPr>
          <w:sz w:val="24"/>
          <w:szCs w:val="24"/>
        </w:rPr>
      </w:pPr>
      <w:bookmarkStart w:id="2" w:name="bookmark2"/>
      <w:r>
        <w:rPr>
          <w:color w:val="000000"/>
          <w:spacing w:val="0"/>
          <w:position w:val="0"/>
          <w:sz w:val="46"/>
          <w:szCs w:val="46"/>
          <w:shd w:val="clear" w:color="auto" w:fill="auto"/>
          <w:lang w:val="ru-RU" w:eastAsia="ru-RU" w:bidi="ru-RU"/>
        </w:rPr>
        <w:t>ПНИ НИН 111111111111</w:t>
      </w:r>
      <w:bookmarkEnd w:id="2"/>
      <w:r>
        <w:rPr>
          <w:color w:val="000000"/>
          <w:spacing w:val="0"/>
          <w:position w:val="0"/>
          <w:sz w:val="46"/>
          <w:szCs w:val="46"/>
          <w:shd w:val="clear" w:color="auto" w:fill="auto"/>
          <w:lang w:val="ru-RU" w:eastAsia="ru-RU" w:bidi="ru-RU"/>
        </w:rPr>
        <w:t xml:space="preserve"> </w:t>
      </w:r>
      <w:r>
        <w:rPr>
          <w:rStyle w:val="CharStyle13"/>
        </w:rPr>
        <w:t>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18.12.2023 на официальном сайте Единой информационной системы в сфере закупок (далее - ЕИС) (</w:t>
      </w:r>
      <w:r>
        <w:fldChar w:fldCharType="begin"/>
      </w:r>
      <w:r>
        <w:rPr/>
        <w:instrText> HYPERLINK "https://zakupki.gov.ru/" </w:instrText>
      </w:r>
      <w:r>
        <w:fldChar w:fldCharType="separate"/>
      </w:r>
      <w:r>
        <w:rPr>
          <w:color w:val="000080"/>
          <w:spacing w:val="0"/>
          <w:w w:val="100"/>
          <w:position w:val="0"/>
          <w:sz w:val="24"/>
          <w:szCs w:val="24"/>
          <w:shd w:val="clear" w:color="auto" w:fill="auto"/>
          <w:lang w:val="ru-RU" w:eastAsia="ru-RU" w:bidi="ru-RU"/>
        </w:rPr>
        <w:t>ЬйрзТ/хакиркЁдоуди</w:t>
      </w:r>
      <w:r>
        <w:fldChar w:fldCharType="end"/>
      </w:r>
      <w:r>
        <w:rPr>
          <w:color w:val="000000"/>
          <w:spacing w:val="0"/>
          <w:w w:val="100"/>
          <w:position w:val="0"/>
          <w:sz w:val="24"/>
          <w:szCs w:val="24"/>
          <w:shd w:val="clear" w:color="auto" w:fill="auto"/>
          <w:lang w:val="ru-RU" w:eastAsia="ru-RU" w:bidi="ru-RU"/>
        </w:rPr>
        <w:t>) Мурманским муниципальным казенным учреждением «Управление закупок». размещена информация о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52/1 по улице Радищева в городе Мурманске.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Наименование электронной площадки в информационно-телекоммуникационной сети «Интернет»: АО «Сбербанк-АСТ».</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Уполномоченное учреждение: Мурманское муниципальное казенное учреждение «Управление закупок» (далее Учреждение).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Заказчик: Мурманское муниципальное казенное учреждение «Управление капитального строительства» (ММКУ УКС).</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Предмет закупки: выполнение работ по техническому обследованию несущих и ограждающих конструкций многоквартирного дома № 52/1 по улице Радищева, в городе Мурманске.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563 981,32 рублей.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Окончание подачи заявок 25.12.2023.</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Подведение итогов: 26.12.2023.</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Протоколом подведения итогов определения поставщика (подрядчика, исполнителя) от 26.12.2023 победителем запроса котировок в электронной форме признан участник закупки с идентификационным номером заявки 57 - индивидуальный предприниматель Дробот Николай Юрьевич.</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Не согласившись с результатами подведения итогов, участник закупки - общество с ограниченной ответственностью «Сириус Проект» (далее - Заявитель, Общество) 28.12.2023 обратилось в Мурманское УФАС России с жалобой на действия Заказчика и уполномоченного учреждения. Общество полагает, что индивидуальный предприниматель в силу положений градостроительного законодательства не вправе выполнять работы по обследованию многоквартирных жилых домов, в связи с чем заявка ИП Дробот должна быть отклонена.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Уполномоченное учреждение, Заказчик с доводами жалобы не согласились, представили свои устные и письменные возражения.</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Жалоба рассмотрена дистанционно посредством сервиса веб-видеоконференцсвязи 12.01.2024.</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Мурманского УФАС России, изучив доводы Заявителя, выслушав возражения Учреждения, исследовав представленные сторонами документы и письменные возражения, приходит к следующим выводам.</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Рассматриваемые торги проведены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2 пункта 1.1 части 1 раздела 1 электронного документа, размещенного в составе извещения (реестровый номер 0849300004923000612), «Требования к содержанию, составу заявки на участие в закупке и инструкции ее заполнению» установлено:</w:t>
      </w:r>
    </w:p>
    <w:p>
      <w:pPr>
        <w:pStyle w:val="Style12"/>
        <w:keepNext w:val="0"/>
        <w:keepLines w:val="0"/>
        <w:widowControl w:val="0"/>
        <w:numPr>
          <w:ilvl w:val="0"/>
          <w:numId w:val="1"/>
        </w:numPr>
        <w:shd w:val="clear" w:color="auto" w:fill="auto"/>
        <w:tabs>
          <w:tab w:pos="256"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участник закупки должен быть </w:t>
      </w:r>
      <w:r>
        <w:rPr>
          <w:i/>
          <w:iCs/>
          <w:color w:val="000000"/>
          <w:spacing w:val="0"/>
          <w:w w:val="100"/>
          <w:position w:val="0"/>
          <w:sz w:val="24"/>
          <w:szCs w:val="24"/>
          <w:shd w:val="clear" w:color="auto" w:fill="auto"/>
          <w:lang w:val="ru-RU" w:eastAsia="ru-RU" w:bidi="ru-RU"/>
        </w:rPr>
        <w:t xml:space="preserve">индивидуальным предпринимателем или юридическим </w:t>
      </w:r>
      <w:r>
        <w:rPr>
          <w:i/>
          <w:iCs/>
          <w:color w:val="000000"/>
          <w:spacing w:val="0"/>
          <w:w w:val="100"/>
          <w:position w:val="0"/>
          <w:sz w:val="24"/>
          <w:szCs w:val="24"/>
          <w:shd w:val="clear" w:color="auto" w:fill="auto"/>
          <w:lang w:val="ru-RU" w:eastAsia="ru-RU" w:bidi="ru-RU"/>
        </w:rPr>
        <w:t>лицом - членом саморегулируемой организации</w:t>
      </w:r>
      <w:r>
        <w:rPr>
          <w:color w:val="000000"/>
          <w:spacing w:val="0"/>
          <w:w w:val="100"/>
          <w:position w:val="0"/>
          <w:sz w:val="24"/>
          <w:szCs w:val="24"/>
          <w:shd w:val="clear" w:color="auto" w:fill="auto"/>
          <w:lang w:val="ru-RU" w:eastAsia="ru-RU" w:bidi="ru-RU"/>
        </w:rPr>
        <w:t>, основанной на членстве лиц, выполняющих инженерные изыскания, и имеющей (сформировавшей) компенсационные фонды возмещения вреда и обеспечения договорных обязательств (далее - СРО).</w:t>
      </w:r>
    </w:p>
    <w:p>
      <w:pPr>
        <w:pStyle w:val="Style12"/>
        <w:keepNext w:val="0"/>
        <w:keepLines w:val="0"/>
        <w:widowControl w:val="0"/>
        <w:numPr>
          <w:ilvl w:val="0"/>
          <w:numId w:val="1"/>
        </w:numPr>
        <w:shd w:val="clear" w:color="auto" w:fill="auto"/>
        <w:tabs>
          <w:tab w:pos="918"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участник закупки должен </w:t>
      </w:r>
      <w:r>
        <w:rPr>
          <w:i/>
          <w:iCs/>
          <w:color w:val="000000"/>
          <w:spacing w:val="0"/>
          <w:w w:val="100"/>
          <w:position w:val="0"/>
          <w:sz w:val="24"/>
          <w:szCs w:val="24"/>
          <w:shd w:val="clear" w:color="auto" w:fill="auto"/>
          <w:lang w:val="ru-RU" w:eastAsia="ru-RU" w:bidi="ru-RU"/>
        </w:rPr>
        <w:t>иметь право выполнять работы по договору подряда на выполнение инженерных изысканий</w:t>
      </w:r>
      <w:r>
        <w:rPr>
          <w:color w:val="000000"/>
          <w:spacing w:val="0"/>
          <w:w w:val="100"/>
          <w:position w:val="0"/>
          <w:sz w:val="24"/>
          <w:szCs w:val="24"/>
          <w:shd w:val="clear" w:color="auto" w:fill="auto"/>
          <w:lang w:val="ru-RU" w:eastAsia="ru-RU" w:bidi="ru-RU"/>
        </w:rPr>
        <w:t xml:space="preserve"> в отношении объекта капитального строительства (кроме особо опасных, технически сложных и уникальных объектов, объектов использования атомной энергии).</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Соответствующая информация об участнике закупки должна быть включена в единый реестр сведений о членах саморегулируемых организаций и их обязательствах, предусмотренный статьей 55.17 Градостроительного кодекса Российской Федерации (далее ГрК РФ).</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Требование установлено на основании статей 47, 55.8, 55.17 ГрК РФ и не распространяется на участников закупки, указанных в части 2.1 статьи 47 ГрК РФ. В соответствии с подпунктом «н» пункта 1 части 1 статьи 43, частью 1 статьи 50 Закона о контрактной системе в сфере закупок в качестве документов, подтверждающих соответствие участника закупки требованиям, установленным в соответствии с пунктом 1 части 1 статьи 31 Закона о контрактной системе в сфере закупок в извещении об осуществлении закупки, сформированном с использованием ЕИС, в том числе в настоящем подпункте, рассматривается документ, предусмотренный подпунктом «ж» пункта 2.1 части 2 раздела I настоящего электронного документа и направленный уполномоченному учреждению оператором электронной площадки путем информационного взаимодействия с ЕИС.</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Предоставление какого-либо документа участником закупки в составе заявки на участие в закупке не требуется, так как это не предусмотрено действующим законодательством Российской Федерации.</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Комиссия по осуществлению закупок ММКУ «Управление закупок» будет проверять соответствие участника закупки установленному требованию по данным единого реестра сведений о членах саморегулируемых организаций и их обязательствах, предусмотренного статьей 55.17 ГрК РФ.</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Таким образом, Извещением о проведении запроса котировок установлено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выполнение работ, являющихся объектом закупки, без ограничения участия в закупке лиц, обладающих статусом «индивидуальный предприниматель».</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подпунктом «а» пункта 1 части 3 статьи 50 Закона о контрактной системе в сфере закупок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в сфере закупок,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в сфере закупок.</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В соответствии с частью 9 статьи 24, подпунктом «б» пункта 1 части 3 статьи 50 Закона о контрактной системе, Протоколом подведения итогов определения поставщика (подрядчика, исполнителя) от 26.12.2023 победителем запроса котировок признан индивидуальный предприниматель Дробот Н.Ю., который является членом саморегулируемой организации, и заявка которого в полной мере соответствует требованиям Извещения.</w:t>
      </w:r>
    </w:p>
    <w:p>
      <w:pPr>
        <w:pStyle w:val="Style12"/>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 xml:space="preserve">Таким образом, действия Комиссия по осуществлению закупок ММКУ «Управление закупок», признавшей победителем закупки участника закупки с идентификационным номером заявки 57 индивидуального предпринимателя Дробот Н.Ю. не противоречат требованиям </w:t>
      </w:r>
      <w:r>
        <w:rPr>
          <w:color w:val="000000"/>
          <w:spacing w:val="0"/>
          <w:w w:val="100"/>
          <w:position w:val="0"/>
          <w:sz w:val="24"/>
          <w:szCs w:val="24"/>
          <w:shd w:val="clear" w:color="auto" w:fill="auto"/>
          <w:lang w:val="ru-RU" w:eastAsia="ru-RU" w:bidi="ru-RU"/>
        </w:rPr>
        <w:t>законодательства о контрактной системе.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ООО «Сириус Проект» обжалует положения Извещения о проведении закупки, в части возможности участия в закупке индивидуальных предпринимателей.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Так, Заявитель, со ссылкой на положения абзаца 2 пункта 4 статьи 55.26-1 ГрК РФ,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а так же пункта 2.1 Методических рекомендации по оценке технических заключений специализированных организаций по обследованию технического состояния многоквартирных домов, утвержденных Госкорпорацией «Фонд содействия реформированию ЖКХ» 30.12.2020, указывает, что работы по обследованию жилых многоквартирных домов для получение заключений, необходимых для принятия решений о признании жилых помещений непригодными для проживания и подлежащим сносу или реконструкции могут выполняться только юридическими лицами. По мнению ООО «Сириус Проект», лица, обладающие статусом «индивидуальный предприниматель» в силу положений градостроительного законодательства указанные работы осуществлять не вправе.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Данный довод жалобы рассмотрен Комиссией Мурманского УФАС России в рамках внеплановой проверки в соответствии с пунктом 1 части 15 статьи 99 Закона о контрактной системе.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Постановлением Администрации города Мурманска от 16.02.2022 № 368 многоквартирный дом № 52/1, расположенный на улице Радищева, в городе Мурманске признан аварийным и подлежащим сносу.</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7 электронного документа «Описание объекта закупки», размещенного в составе извещения, определены цели и задачи инженерных изысканий: определение действительного технического состояния многоквартирного жилого дома и его элементов, получение количественной оценки фактических показателей качества конструкций с учетом изменений, происходящих во времени, для установления состава и объема работ по капитальному ремонту, реконструкции или сносу здания.</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10 «Описание объекта закупки», определено задание на отдельные виды работ в составе инженерных изысканий: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Обмерные работы несущих и ограждающих конструкций здания с составлением поэтажных планов, плана чердачного помещения, поперечных и продольных разрезов, фасадов выполнить в соответствии с требованиями СП 13-102-2003 «Правила обследования несущих строительных конструкций зданий и сооружений» (далее СП 13-102-2003);</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2) Обследование несущих и ограждающих конструкций здания выполнить в соответствии с требованиями ГОСТ 31937-2011 «Межгосударственный стандарт. Здания и сооружения. Правила обследования и мониторинга технического состояния» (далее - ГОСТ 31937-2011).</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Подпунктом 22 пункта 1 Технического задания приложения к проекту контракта, размещенного в составе извещения, установлено: материалы и результаты инженерных изысканий оформляются в виде отчетной документации (технического отчета, заключения) о выполнении инженерных изысканий.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Пунктом 1.1. СП 13-102-2003 определено предназначение правил для применения при обследовании строительных конструкций зданий и сооружений жилищного, общественного, административно-бытового и производственного назначения с целью определения их технического состояния, а также их использование при решении вопросов о пригодности жилых домов для проживания в них. Правила регламентируют процедуру проведения обследования строительных конструкций, определяют принципиальную схему и состав работ, позволяющих </w:t>
      </w:r>
      <w:r>
        <w:rPr>
          <w:color w:val="000000"/>
          <w:spacing w:val="0"/>
          <w:w w:val="100"/>
          <w:position w:val="0"/>
          <w:sz w:val="24"/>
          <w:szCs w:val="24"/>
          <w:shd w:val="clear" w:color="auto" w:fill="auto"/>
          <w:lang w:val="ru-RU" w:eastAsia="ru-RU" w:bidi="ru-RU"/>
        </w:rPr>
        <w:t>объективно оценить техническое состояние, фактическую несущую способность конструкций и, в случае необходимости, принять обоснованные технические решения по ремонтно</w:t>
        <w:softHyphen/>
        <w:t>восстановительным мероприятиям или способам усилений.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3.4 ГОСТа 31937-2011 обследование технического состояния здания (сооружения): комплекс мероприятий по определению и оценке фактических значений контролируемых параметров, характеризующих работоспособность объекта обследования и определяющих возможность его дальнейшей эксплуатации, реконструкции или необходимость восстановления, усиления, ремонта, и включающий в себя обследование грунтов основания и строительных конструкций на предмет выявления изменения свойств грунтов, деформационных повреждений, дефектов несущих конструкций и определения их фактической несущей способности.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Учитывая изложенное, Комиссия Мурманского УФАС России, приходит к выводу, что предметом закупки не является получение заключения специализированной организаций, необходимого для принятия решения о признании жилых помещений соответствующими (не соответствующими)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перечнем видов инженерных изысканий, утвержденным Постановлением Правительства Российской Федерации от 19 января 2006 г. № 20 «Об инженерных изысканиях для подготовки проектной документации, строительства, реконструкции объектов капитального строительства», обследования состояния грунтов оснований зданий и сооружений, их строительных конструкций относится к специальным видам инженерных изысканий.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частью 2 статьи 47 Гр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w:t>
      </w:r>
      <w:r>
        <w:rPr>
          <w:i/>
          <w:iCs/>
          <w:color w:val="000000"/>
          <w:spacing w:val="0"/>
          <w:w w:val="100"/>
          <w:position w:val="0"/>
          <w:sz w:val="24"/>
          <w:szCs w:val="24"/>
          <w:shd w:val="clear" w:color="auto" w:fill="auto"/>
          <w:lang w:val="ru-RU" w:eastAsia="ru-RU" w:bidi="ru-RU"/>
        </w:rPr>
        <w:t>индивидуальными предпринимателями</w:t>
      </w:r>
      <w:r>
        <w:rPr>
          <w:color w:val="000000"/>
          <w:spacing w:val="0"/>
          <w:w w:val="100"/>
          <w:position w:val="0"/>
          <w:sz w:val="24"/>
          <w:szCs w:val="24"/>
          <w:shd w:val="clear" w:color="auto" w:fill="auto"/>
          <w:lang w:val="ru-RU" w:eastAsia="ru-RU" w:bidi="ru-RU"/>
        </w:rPr>
        <w:t xml:space="preserve"> или юридическими лицами, </w:t>
      </w:r>
      <w:r>
        <w:rPr>
          <w:i/>
          <w:iCs/>
          <w:color w:val="000000"/>
          <w:spacing w:val="0"/>
          <w:w w:val="100"/>
          <w:position w:val="0"/>
          <w:sz w:val="24"/>
          <w:szCs w:val="24"/>
          <w:shd w:val="clear" w:color="auto" w:fill="auto"/>
          <w:lang w:val="ru-RU" w:eastAsia="ru-RU" w:bidi="ru-RU"/>
        </w:rPr>
        <w:t>которые являются членами саморегулируемых организаций в области инженерных изысканий</w:t>
      </w:r>
      <w:r>
        <w:rPr>
          <w:color w:val="000000"/>
          <w:spacing w:val="0"/>
          <w:w w:val="100"/>
          <w:position w:val="0"/>
          <w:sz w:val="24"/>
          <w:szCs w:val="24"/>
          <w:shd w:val="clear" w:color="auto" w:fill="auto"/>
          <w:lang w:val="ru-RU" w:eastAsia="ru-RU" w:bidi="ru-RU"/>
        </w:rPr>
        <w:t>,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Мурманского УФАС России, полагает, нормы законодательства, на которые ссылается Заявитель в своей жалобе, не применимы к объекту закупки.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Более того, согласно части 3 статьи 9 Федерального закона от 30.12.2021 № 447-ФЗ «О внесении изменений в Градостроительный кодекс Российской Федерации и отдельные законодательные акты Российской Федерации», в связи с отсутствием в настоящее время утвержденного порядка признания объектов капитального строительства аварийными и подлежащими сносу или реконструкции, положения статьи 55.26-1 ГрК РФ не применяются.</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изложенного, Комиссия Мурманского УФАС приходит к выводу о необоснованности доводов жалобы ООО «Сириус Проект».</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Мурманского УФАС России, руководствуясь статьями 99, 106 Закона о</w:t>
      </w:r>
      <w:r>
        <w:br w:type="page"/>
      </w: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708660</wp:posOffset>
                </wp:positionH>
                <wp:positionV relativeFrom="paragraph">
                  <wp:posOffset>0</wp:posOffset>
                </wp:positionV>
                <wp:extent cx="1429385" cy="216535"/>
                <wp:wrapTopAndBottom/>
                <wp:docPr id="9" name="Shape 9"/>
                <a:graphic xmlns:a="http://schemas.openxmlformats.org/drawingml/2006/main">
                  <a:graphicData uri="http://schemas.microsoft.com/office/word/2010/wordprocessingShape">
                    <wps:wsp>
                      <wps:cNvSpPr txBox="1"/>
                      <wps:spPr>
                        <a:xfrm>
                          <a:ext cx="142938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контрактной системе,</w:t>
                            </w:r>
                          </w:p>
                        </w:txbxContent>
                      </wps:txbx>
                      <wps:bodyPr wrap="none" lIns="0" tIns="0" rIns="0" bIns="0">
                        <a:noAutoFit/>
                      </wps:bodyPr>
                    </wps:wsp>
                  </a:graphicData>
                </a:graphic>
              </wp:anchor>
            </w:drawing>
          </mc:Choice>
          <mc:Fallback>
            <w:pict>
              <v:shape id="_x0000_s1035" type="#_x0000_t202" style="position:absolute;margin-left:55.800000000000004pt;margin-top:0;width:112.55pt;height:17.050000000000001pt;z-index:-12582937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контрактной системе,</w:t>
                      </w:r>
                    </w:p>
                  </w:txbxContent>
                </v:textbox>
                <w10:wrap type="topAndBottom" anchorx="page"/>
              </v:shape>
            </w:pict>
          </mc:Fallback>
        </mc:AlternateContent>
      </w:r>
    </w:p>
    <w:p>
      <w:pPr>
        <w:pStyle w:val="Style12"/>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2"/>
        <w:keepNext w:val="0"/>
        <w:keepLines w:val="0"/>
        <w:widowControl w:val="0"/>
        <w:shd w:val="clear" w:color="auto" w:fill="auto"/>
        <w:bidi w:val="0"/>
        <w:spacing w:before="0" w:after="260"/>
        <w:ind w:left="0" w:right="0" w:firstLine="720"/>
        <w:jc w:val="both"/>
      </w:pPr>
      <w:r>
        <w:rPr>
          <w:color w:val="000000"/>
          <w:spacing w:val="0"/>
          <w:w w:val="100"/>
          <w:position w:val="0"/>
          <w:sz w:val="24"/>
          <w:szCs w:val="24"/>
          <w:shd w:val="clear" w:color="auto" w:fill="auto"/>
          <w:lang w:val="ru-RU" w:eastAsia="ru-RU" w:bidi="ru-RU"/>
        </w:rPr>
        <w:t>1. Признать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52/1 по улице Радищева в городе Мурманске. (Извещение № 0849300004923000612) необоснованной.</w:t>
      </w:r>
    </w:p>
    <w:p>
      <w:pPr>
        <w:pStyle w:val="Style12"/>
        <w:keepNext w:val="0"/>
        <w:keepLines w:val="0"/>
        <w:widowControl w:val="0"/>
        <w:shd w:val="clear" w:color="auto" w:fill="auto"/>
        <w:bidi w:val="0"/>
        <w:spacing w:before="0" w:after="0" w:line="254" w:lineRule="auto"/>
        <w:ind w:left="0" w:right="0" w:firstLine="72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330" w:right="822" w:bottom="1184" w:left="1099" w:header="0" w:footer="3" w:gutter="0"/>
          <w:cols w:space="720"/>
          <w:noEndnote/>
          <w:rtlGutter w:val="0"/>
          <w:docGrid w:linePitch="360"/>
        </w:sectPr>
      </w:pPr>
      <w:r>
        <mc:AlternateContent>
          <mc:Choice Requires="wps">
            <w:drawing>
              <wp:anchor distT="454660" distB="81915" distL="0" distR="0" simplePos="0" relativeHeight="125829382" behindDoc="0" locked="0" layoutInCell="1" allowOverlap="1">
                <wp:simplePos x="0" y="0"/>
                <wp:positionH relativeFrom="page">
                  <wp:posOffset>735965</wp:posOffset>
                </wp:positionH>
                <wp:positionV relativeFrom="paragraph">
                  <wp:posOffset>454660</wp:posOffset>
                </wp:positionV>
                <wp:extent cx="1572895" cy="216535"/>
                <wp:wrapTopAndBottom/>
                <wp:docPr id="11" name="Shape 11"/>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950000000000003pt;margin-top:35.800000000000004pt;width:123.85000000000001pt;height:17.050000000000001pt;z-index:-125829371;mso-wrap-distance-left:0;mso-wrap-distance-top:35.800000000000004pt;mso-wrap-distance-right:0;mso-wrap-distance-bottom:6.450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93700" distB="0" distL="0" distR="1804670" simplePos="0" relativeHeight="125829384" behindDoc="0" locked="0" layoutInCell="1" allowOverlap="1">
            <wp:simplePos x="0" y="0"/>
            <wp:positionH relativeFrom="page">
              <wp:posOffset>3021965</wp:posOffset>
            </wp:positionH>
            <wp:positionV relativeFrom="paragraph">
              <wp:posOffset>393700</wp:posOffset>
            </wp:positionV>
            <wp:extent cx="311150" cy="3594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3415030</wp:posOffset>
                </wp:positionH>
                <wp:positionV relativeFrom="paragraph">
                  <wp:posOffset>463550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68.89999999999998pt;margin-top:36.5pt;width:135.59999999999999pt;height:20.15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54660" distB="81915" distL="0" distR="0" simplePos="0" relativeHeight="125829385" behindDoc="0" locked="0" layoutInCell="1" allowOverlap="1">
                <wp:simplePos x="0" y="0"/>
                <wp:positionH relativeFrom="page">
                  <wp:posOffset>6017895</wp:posOffset>
                </wp:positionH>
                <wp:positionV relativeFrom="paragraph">
                  <wp:posOffset>454660</wp:posOffset>
                </wp:positionV>
                <wp:extent cx="993775" cy="216535"/>
                <wp:wrapTopAndBottom/>
                <wp:docPr id="17" name="Shape 17"/>
                <a:graphic xmlns:a="http://schemas.openxmlformats.org/drawingml/2006/main">
                  <a:graphicData uri="http://schemas.microsoft.com/office/word/2010/wordprocessingShape">
                    <wps:wsp>
                      <wps:cNvSpPr txBox="1"/>
                      <wps:spPr>
                        <a:xfrm>
                          <a:ext cx="99377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43" type="#_x0000_t202" style="position:absolute;margin-left:473.85000000000002pt;margin-top:35.800000000000004pt;width:78.25pt;height:17.050000000000001pt;z-index:-125829368;mso-wrap-distance-left:0;mso-wrap-distance-top:35.800000000000004pt;mso-wrap-distance-right:0;mso-wrap-distance-bottom:6.450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Калитина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Калитина Наталия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C8C8C"/>
          <w:spacing w:val="0"/>
          <w:w w:val="100"/>
          <w:position w:val="0"/>
          <w:shd w:val="clear" w:color="auto" w:fill="auto"/>
          <w:lang w:val="ru-RU" w:eastAsia="ru-RU" w:bidi="ru-RU"/>
        </w:rPr>
        <w:t xml:space="preserve">11 </w:t>
      </w:r>
      <w:r>
        <w:rPr>
          <w:spacing w:val="0"/>
          <w:w w:val="100"/>
          <w:position w:val="0"/>
          <w:shd w:val="clear" w:color="auto" w:fill="auto"/>
          <w:lang w:val="ru-RU" w:eastAsia="ru-RU" w:bidi="ru-RU"/>
        </w:rPr>
        <w:t>32В001Е390444Е3409А0816879Е090</w:t>
      </w:r>
    </w:p>
    <w:p>
      <w:pPr>
        <w:pStyle w:val="Style26"/>
        <w:keepNext w:val="0"/>
        <w:keepLines w:val="0"/>
        <w:widowControl w:val="0"/>
        <w:shd w:val="clear" w:color="auto" w:fill="auto"/>
        <w:bidi w:val="0"/>
        <w:spacing w:before="0" w:after="2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14.08.2024</w:t>
      </w:r>
    </w:p>
    <w:p>
      <w:pPr>
        <w:pStyle w:val="Style12"/>
        <w:keepNext w:val="0"/>
        <w:keepLines w:val="0"/>
        <w:widowControl w:val="0"/>
        <w:shd w:val="clear" w:color="auto" w:fill="auto"/>
        <w:bidi w:val="0"/>
        <w:spacing w:before="0" w:after="360" w:line="240" w:lineRule="auto"/>
        <w:ind w:left="0" w:right="0" w:firstLine="0"/>
        <w:jc w:val="left"/>
      </w:pPr>
      <w:r>
        <w:drawing>
          <wp:anchor distT="0" distB="0" distL="114300" distR="1900555" simplePos="0" relativeHeight="125829387" behindDoc="0" locked="0" layoutInCell="1" allowOverlap="1">
            <wp:simplePos x="0" y="0"/>
            <wp:positionH relativeFrom="page">
              <wp:posOffset>3013075</wp:posOffset>
            </wp:positionH>
            <wp:positionV relativeFrom="paragraph">
              <wp:posOffset>355600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3470275</wp:posOffset>
                </wp:positionH>
                <wp:positionV relativeFrom="paragraph">
                  <wp:posOffset>755015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73.25pt;margin-top:59.450000000000003pt;width:101.3pt;height:8.15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3427730</wp:posOffset>
                </wp:positionH>
                <wp:positionV relativeFrom="paragraph">
                  <wp:posOffset>443865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69.89999999999998pt;margin-top:34.950000000000003pt;width:135.59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480" w:line="240" w:lineRule="auto"/>
        <w:ind w:left="0" w:right="0" w:firstLine="900"/>
        <w:jc w:val="left"/>
      </w:pPr>
      <w:r>
        <w:rPr>
          <w:color w:val="000000"/>
          <w:spacing w:val="0"/>
          <w:w w:val="100"/>
          <w:position w:val="0"/>
          <w:sz w:val="24"/>
          <w:szCs w:val="24"/>
          <w:shd w:val="clear" w:color="auto" w:fill="auto"/>
          <w:lang w:val="ru-RU" w:eastAsia="ru-RU" w:bidi="ru-RU"/>
        </w:rPr>
        <w:t>М.Е.Гребенюкова</w:t>
      </w:r>
    </w:p>
    <w:p>
      <w:pPr>
        <w:pStyle w:val="Style2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666666"/>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00070С5В0270А32676СА50332С73Е726С</w:t>
      </w:r>
      <w:r>
        <w:rPr>
          <w:spacing w:val="0"/>
          <w:w w:val="100"/>
          <w:position w:val="0"/>
          <w:shd w:val="clear" w:color="auto" w:fill="auto"/>
          <w:lang w:val="ru-RU" w:eastAsia="ru-RU" w:bidi="ru-RU"/>
        </w:rPr>
        <w:t>В</w:t>
      </w:r>
    </w:p>
    <w:p>
      <w:pPr>
        <w:pStyle w:val="Style26"/>
        <w:keepNext w:val="0"/>
        <w:keepLines w:val="0"/>
        <w:widowControl w:val="0"/>
        <w:shd w:val="clear" w:color="auto" w:fill="auto"/>
        <w:bidi w:val="0"/>
        <w:spacing w:before="0" w:after="800" w:line="240" w:lineRule="auto"/>
        <w:ind w:right="0" w:firstLine="0"/>
        <w:jc w:val="left"/>
      </w:pPr>
      <w:r>
        <w:drawing>
          <wp:anchor distT="0" distB="0" distL="114300" distR="1900555" simplePos="0" relativeHeight="125829388" behindDoc="0" locked="0" layoutInCell="1" allowOverlap="1">
            <wp:simplePos x="0" y="0"/>
            <wp:positionH relativeFrom="page">
              <wp:posOffset>3013075</wp:posOffset>
            </wp:positionH>
            <wp:positionV relativeFrom="paragraph">
              <wp:posOffset>584200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3470275</wp:posOffset>
                </wp:positionH>
                <wp:positionV relativeFrom="paragraph">
                  <wp:posOffset>986790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73.25pt;margin-top:77.700000000000003pt;width:100.8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3427730</wp:posOffset>
                </wp:positionH>
                <wp:positionV relativeFrom="paragraph">
                  <wp:posOffset>672465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9.89999999999998pt;margin-top:52.950000000000003pt;width:135.59999999999999pt;height:20.15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666666"/>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 xml:space="preserve">05.12.2022 </w:t>
      </w:r>
      <w:r>
        <w:rPr>
          <w:color w:val="8C8C8C"/>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28.02.2024</w:t>
      </w:r>
    </w:p>
    <w:p>
      <w:pPr>
        <w:pStyle w:val="Style12"/>
        <w:keepNext w:val="0"/>
        <w:keepLines w:val="0"/>
        <w:widowControl w:val="0"/>
        <w:shd w:val="clear" w:color="auto" w:fill="auto"/>
        <w:bidi w:val="0"/>
        <w:spacing w:before="0" w:after="540" w:line="240" w:lineRule="auto"/>
        <w:ind w:left="1180" w:right="0" w:firstLine="0"/>
        <w:jc w:val="left"/>
      </w:pPr>
      <w:r>
        <w:rPr>
          <w:color w:val="000000"/>
          <w:spacing w:val="0"/>
          <w:w w:val="100"/>
          <w:position w:val="0"/>
          <w:sz w:val="24"/>
          <w:szCs w:val="24"/>
          <w:shd w:val="clear" w:color="auto" w:fill="auto"/>
          <w:lang w:val="ru-RU" w:eastAsia="ru-RU" w:bidi="ru-RU"/>
        </w:rPr>
        <w:t>Н.И.Чоповская</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Поповская Наталья Ивановна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00Э6А9А94649ВЕВВ52ВА969С9198921551</w:t>
      </w:r>
    </w:p>
    <w:p>
      <w:pPr>
        <w:pStyle w:val="Style26"/>
        <w:keepNext w:val="0"/>
        <w:keepLines w:val="0"/>
        <w:widowControl w:val="0"/>
        <w:shd w:val="clear" w:color="auto" w:fill="auto"/>
        <w:bidi w:val="0"/>
        <w:spacing w:before="0" w:after="3340" w:line="240" w:lineRule="auto"/>
        <w:ind w:right="0" w:firstLine="0"/>
        <w:jc w:val="left"/>
      </w:pPr>
      <w:r>
        <w:rPr>
          <w:color w:val="666666"/>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66666"/>
          <w:spacing w:val="0"/>
          <w:w w:val="100"/>
          <w:position w:val="0"/>
          <w:shd w:val="clear" w:color="auto" w:fill="auto"/>
          <w:lang w:val="ru-RU" w:eastAsia="ru-RU" w:bidi="ru-RU"/>
        </w:rPr>
        <w:t>19.09.2023 по 12.12.2024</w:t>
      </w:r>
    </w:p>
    <w:p>
      <w:pPr>
        <w:pStyle w:val="Style5"/>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Исп.Чоповская Н.И. тел.68-50-53</w:t>
      </w:r>
    </w:p>
    <w:sectPr>
      <w:footnotePr>
        <w:pos w:val="pageBottom"/>
        <w:numFmt w:val="decimal"/>
        <w:numRestart w:val="continuous"/>
      </w:footnotePr>
      <w:type w:val="continuous"/>
      <w:pgSz w:w="11900" w:h="16840"/>
      <w:pgMar w:top="1110" w:right="829" w:bottom="1110"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10039350</wp:posOffset>
              </wp:positionV>
              <wp:extent cx="572770" cy="100330"/>
              <wp:wrapNone/>
              <wp:docPr id="3" name="Shape 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79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2024-202</w:t>
                          </w:r>
                        </w:p>
                      </w:txbxContent>
                    </wps:txbx>
                    <wps:bodyPr wrap="none" lIns="0" tIns="0" rIns="0" bIns="0">
                      <a:spAutoFit/>
                    </wps:bodyPr>
                  </wps:wsp>
                </a:graphicData>
              </a:graphic>
            </wp:anchor>
          </w:drawing>
        </mc:Choice>
        <mc:Fallback>
          <w:pict>
            <v:shape id="_x0000_s1031"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Подпись к картинке_"/>
    <w:basedOn w:val="DefaultParagraphFont"/>
    <w:link w:val="Style14"/>
    <w:rPr>
      <w:rFonts w:ascii="Georgia" w:eastAsia="Georgia" w:hAnsi="Georgia" w:cs="Georgia"/>
      <w:b w:val="0"/>
      <w:bCs w:val="0"/>
      <w:i w:val="0"/>
      <w:iCs w:val="0"/>
      <w:smallCaps w:val="0"/>
      <w:strike w:val="0"/>
      <w:color w:val="232323"/>
      <w:sz w:val="11"/>
      <w:szCs w:val="11"/>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w w:val="50"/>
      <w:sz w:val="46"/>
      <w:szCs w:val="46"/>
      <w:u w:val="none"/>
    </w:rPr>
  </w:style>
  <w:style w:type="character" w:customStyle="1" w:styleId="CharStyle25">
    <w:name w:val="Основной текст (5)_"/>
    <w:basedOn w:val="DefaultParagraphFont"/>
    <w:link w:val="Style24"/>
    <w:rPr>
      <w:rFonts w:ascii="Georgia" w:eastAsia="Georgia" w:hAnsi="Georgia" w:cs="Georgia"/>
      <w:b w:val="0"/>
      <w:bCs w:val="0"/>
      <w:i w:val="0"/>
      <w:iCs w:val="0"/>
      <w:smallCaps w:val="0"/>
      <w:strike w:val="0"/>
      <w:color w:val="EAEAEA"/>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64646"/>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20" w:line="28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8">
    <w:name w:val="Основной текст (4)"/>
    <w:basedOn w:val="Normal"/>
    <w:link w:val="CharStyle9"/>
    <w:pPr>
      <w:widowControl w:val="0"/>
      <w:shd w:val="clear" w:color="auto" w:fill="auto"/>
      <w:spacing w:after="38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0">
    <w:name w:val="Заголовок №2"/>
    <w:basedOn w:val="Normal"/>
    <w:link w:val="CharStyle11"/>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Подпись к картинке"/>
    <w:basedOn w:val="Normal"/>
    <w:link w:val="CharStyle15"/>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17">
    <w:name w:val="Заголовок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w w:val="50"/>
      <w:sz w:val="46"/>
      <w:szCs w:val="46"/>
      <w:u w:val="none"/>
    </w:rPr>
  </w:style>
  <w:style w:type="paragraph" w:customStyle="1" w:styleId="Style24">
    <w:name w:val="Основной текст (5)"/>
    <w:basedOn w:val="Normal"/>
    <w:link w:val="CharStyle25"/>
    <w:pPr>
      <w:widowControl w:val="0"/>
      <w:shd w:val="clear" w:color="auto" w:fill="auto"/>
      <w:spacing w:after="100"/>
      <w:ind w:left="4340"/>
    </w:pPr>
    <w:rPr>
      <w:rFonts w:ascii="Georgia" w:eastAsia="Georgia" w:hAnsi="Georgia" w:cs="Georgia"/>
      <w:b w:val="0"/>
      <w:bCs w:val="0"/>
      <w:i w:val="0"/>
      <w:iCs w:val="0"/>
      <w:smallCaps w:val="0"/>
      <w:strike w:val="0"/>
      <w:color w:val="EAEAEA"/>
      <w:sz w:val="12"/>
      <w:szCs w:val="12"/>
      <w:u w:val="none"/>
    </w:rPr>
  </w:style>
  <w:style w:type="paragraph" w:customStyle="1" w:styleId="Style26">
    <w:name w:val="Основной текст (2)"/>
    <w:basedOn w:val="Normal"/>
    <w:link w:val="CharStyle27"/>
    <w:pPr>
      <w:widowControl w:val="0"/>
      <w:shd w:val="clear" w:color="auto" w:fill="auto"/>
      <w:ind w:left="3640"/>
    </w:pPr>
    <w:rPr>
      <w:rFonts w:ascii="Arial" w:eastAsia="Arial" w:hAnsi="Arial" w:cs="Arial"/>
      <w:b w:val="0"/>
      <w:bCs w:val="0"/>
      <w:i w:val="0"/>
      <w:iCs w:val="0"/>
      <w:smallCaps w:val="0"/>
      <w:strike w:val="0"/>
      <w:color w:val="46464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