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6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Мурманской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Академика Книповича, 9а, г. Мурманск, 183038</w:t>
        <w:br/>
        <w:t>тел. (8152) 68-50-43, факс (8152) 68-50-43</w:t>
        <w:br/>
        <w:t>е-тай: ю51@1ав.§оу.ги</w:t>
      </w:r>
    </w:p>
    <w:p>
      <w:pPr>
        <w:pStyle w:val="Style10"/>
        <w:keepNext/>
        <w:keepLines/>
        <w:widowControl w:val="0"/>
        <w:shd w:val="clear" w:color="auto" w:fill="auto"/>
        <w:tabs>
          <w:tab w:pos="1814"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7.01.2024</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НК/188/24</w:t>
      </w:r>
      <w:bookmarkEnd w:id="0"/>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Мурманское муниципальное казенное учреждение «Управление закупок» Гх44-сИутштаап8к@уапдех.ш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Мурманское муниципальное казенное учреждение «Управление капитального строительства» (ММКУ УКС) ик8тштаап@уапдех.ш</w:t>
      </w:r>
    </w:p>
    <w:p>
      <w:pPr>
        <w:pStyle w:val="Style13"/>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630" w:bottom="1231" w:left="1284" w:header="0" w:footer="3" w:gutter="0"/>
          <w:pgNumType w:start="1"/>
          <w:cols w:num="2" w:space="787"/>
          <w:noEndnote/>
          <w:titlePg/>
          <w:rtlGutter w:val="0"/>
          <w:docGrid w:linePitch="360"/>
        </w:sectPr>
      </w:pPr>
      <w:r>
        <w:rPr>
          <w:color w:val="000000"/>
          <w:spacing w:val="0"/>
          <w:w w:val="100"/>
          <w:position w:val="0"/>
          <w:sz w:val="24"/>
          <w:szCs w:val="24"/>
          <w:shd w:val="clear" w:color="auto" w:fill="auto"/>
          <w:lang w:val="ru-RU" w:eastAsia="ru-RU" w:bidi="ru-RU"/>
        </w:rPr>
        <w:t>ООО «Сириус Проект» тГо@8ти8-ргоекСш</w:t>
      </w:r>
    </w:p>
    <w:p>
      <w:pPr>
        <w:widowControl w:val="0"/>
        <w:spacing w:line="32" w:lineRule="exact"/>
        <w:rPr>
          <w:sz w:val="3"/>
          <w:szCs w:val="3"/>
        </w:rPr>
      </w:pPr>
    </w:p>
    <w:p>
      <w:pPr>
        <w:widowControl w:val="0"/>
        <w:spacing w:line="1" w:lineRule="exact"/>
        <w:sectPr>
          <w:footnotePr>
            <w:pos w:val="pageBottom"/>
            <w:numFmt w:val="decimal"/>
            <w:numRestart w:val="continuous"/>
          </w:footnotePr>
          <w:type w:val="continuous"/>
          <w:pgSz w:w="11900" w:h="16840"/>
          <w:pgMar w:top="1000" w:right="0" w:bottom="1140" w:left="0" w:header="0" w:footer="3" w:gutter="0"/>
          <w:cols w:space="720"/>
          <w:noEndnote/>
          <w:rtlGutter w:val="0"/>
          <w:docGrid w:linePitch="360"/>
        </w:sectPr>
      </w:pPr>
    </w:p>
    <w:p>
      <w:pPr>
        <w:pStyle w:val="Style8"/>
        <w:keepNext w:val="0"/>
        <w:keepLines w:val="0"/>
        <w:widowControl w:val="0"/>
        <w:shd w:val="clear" w:color="auto" w:fill="auto"/>
        <w:bidi w:val="0"/>
        <w:spacing w:before="0" w:after="1220" w:line="240" w:lineRule="auto"/>
        <w:ind w:left="0" w:right="0" w:firstLine="0"/>
        <w:jc w:val="left"/>
      </w:pPr>
      <w:r>
        <w:rPr>
          <w:b w:val="0"/>
          <w:bCs w:val="0"/>
          <w:spacing w:val="0"/>
          <w:w w:val="100"/>
          <w:position w:val="0"/>
          <w:sz w:val="19"/>
          <w:szCs w:val="19"/>
          <w:shd w:val="clear" w:color="auto" w:fill="auto"/>
          <w:lang w:val="ru-RU" w:eastAsia="ru-RU" w:bidi="ru-RU"/>
        </w:rPr>
        <w:t>На№</w:t>
      </w:r>
    </w:p>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3"/>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По делу № 051/06/106-880/2023</w:t>
      </w:r>
    </w:p>
    <w:p>
      <w:pPr>
        <w:pStyle w:val="Style13"/>
        <w:keepNext w:val="0"/>
        <w:keepLines w:val="0"/>
        <w:widowControl w:val="0"/>
        <w:shd w:val="clear" w:color="auto" w:fill="auto"/>
        <w:bidi w:val="0"/>
        <w:spacing w:before="0" w:after="24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5942330</wp:posOffset>
                </wp:positionH>
                <wp:positionV relativeFrom="paragraph">
                  <wp:posOffset>12700</wp:posOffset>
                </wp:positionV>
                <wp:extent cx="1094105" cy="219710"/>
                <wp:wrapSquare wrapText="left"/>
                <wp:docPr id="5" name="Shape 5"/>
                <a:graphic xmlns:a="http://schemas.openxmlformats.org/drawingml/2006/main">
                  <a:graphicData uri="http://schemas.microsoft.com/office/word/2010/wordprocessingShape">
                    <wps:wsp>
                      <wps:cNvSpPr txBox="1"/>
                      <wps:spPr>
                        <a:xfrm>
                          <a:ext cx="1094105" cy="2197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город Мурманск</w:t>
                            </w:r>
                          </w:p>
                        </w:txbxContent>
                      </wps:txbx>
                      <wps:bodyPr wrap="none" lIns="0" tIns="0" rIns="0" bIns="0">
                        <a:noAutoFit/>
                      </wps:bodyPr>
                    </wps:wsp>
                  </a:graphicData>
                </a:graphic>
              </wp:anchor>
            </w:drawing>
          </mc:Choice>
          <mc:Fallback>
            <w:pict>
              <v:shape id="_x0000_s1031" type="#_x0000_t202" style="position:absolute;margin-left:467.90000000000003pt;margin-top:1.pt;width:86.150000000000006pt;height:17.300000000000001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город Мурманск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12 января 2024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Председателя Комиссии Мурманского УФАС России: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Калитиной Н.А. - заместителя руководителя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Членов Комиссии Мурманского УФАС России: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Гребенюковой М.Е. - начальника отдела контроля торгов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Чоповской Н.И. - ведущего специалиста-эксперта отдела контроля рекламы и недобросовестной конкуренции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участии представителей:</w:t>
      </w:r>
    </w:p>
    <w:p>
      <w:pPr>
        <w:pStyle w:val="Style13"/>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Мурманского муниципального казенного учреждения «Управление закупок» - и.о. директора Кизенковой Е.В., Смирновой И.А., действующей по доверенности,</w:t>
      </w:r>
    </w:p>
    <w:p>
      <w:pPr>
        <w:pStyle w:val="Style13"/>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Мурманского муниципального казенного учреждения «Управление капитального строительства» (ММКУ УКС) - Терехиной О.В., действующей по доверенности,</w:t>
      </w:r>
    </w:p>
    <w:p>
      <w:pPr>
        <w:pStyle w:val="Style13"/>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общества с ограниченной ответственностью «Сириус Проект» - директора Соловьева</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А.А.</w:t>
      </w:r>
    </w:p>
    <w:p>
      <w:pPr>
        <w:pStyle w:val="Style13"/>
        <w:keepNext w:val="0"/>
        <w:keepLines w:val="0"/>
        <w:widowControl w:val="0"/>
        <w:shd w:val="clear" w:color="auto" w:fill="auto"/>
        <w:bidi w:val="0"/>
        <w:spacing w:before="0" w:after="240"/>
        <w:ind w:left="0" w:right="0" w:firstLine="740"/>
        <w:jc w:val="both"/>
      </w:pPr>
      <w:r>
        <w:rPr>
          <w:color w:val="000000"/>
          <w:spacing w:val="0"/>
          <w:w w:val="100"/>
          <w:position w:val="0"/>
          <w:sz w:val="24"/>
          <w:szCs w:val="24"/>
          <w:shd w:val="clear" w:color="auto" w:fill="auto"/>
          <w:lang w:val="ru-RU" w:eastAsia="ru-RU" w:bidi="ru-RU"/>
        </w:rPr>
        <w:t>рассмотрев жалобу общества с ограниченной ответственностью «Сириус Проект» на действия Мурманского муниципального казенного учреждения «Управление закупок» и Мурманского муниципального казенного учреждения «Управление капитального строительства» (ММКУ УКС) при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51 по улице Радищева в городе Мурманске. (Извещение № 0849300004923000613) (далее — Запрос котировок, Закупка) в соответствии со статьёй 106 Федерального закона от 05.04.2013 №</w:t>
      </w:r>
    </w:p>
    <w:p>
      <w:pPr>
        <w:pStyle w:val="Style20"/>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3"/>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18.12.2023 на официальном сайте Единой информационной системы в сфере закупок (далее - ЕИС) (</w:t>
      </w:r>
      <w:r>
        <w:fldChar w:fldCharType="begin"/>
      </w:r>
      <w:r>
        <w:rPr/>
        <w:instrText> HYPERLINK "https://zakupki.gov.ru/" </w:instrText>
      </w:r>
      <w:r>
        <w:fldChar w:fldCharType="separate"/>
      </w:r>
      <w:r>
        <w:rPr>
          <w:color w:val="000080"/>
          <w:spacing w:val="0"/>
          <w:w w:val="100"/>
          <w:position w:val="0"/>
          <w:sz w:val="24"/>
          <w:szCs w:val="24"/>
          <w:shd w:val="clear" w:color="auto" w:fill="auto"/>
          <w:lang w:val="ru-RU" w:eastAsia="ru-RU" w:bidi="ru-RU"/>
        </w:rPr>
        <w:t>ЬйрзТ/хакиркЁдоуди</w:t>
      </w:r>
      <w:r>
        <w:fldChar w:fldCharType="end"/>
      </w:r>
      <w:r>
        <w:rPr>
          <w:color w:val="000000"/>
          <w:spacing w:val="0"/>
          <w:w w:val="100"/>
          <w:position w:val="0"/>
          <w:sz w:val="24"/>
          <w:szCs w:val="24"/>
          <w:shd w:val="clear" w:color="auto" w:fill="auto"/>
          <w:lang w:val="ru-RU" w:eastAsia="ru-RU" w:bidi="ru-RU"/>
        </w:rPr>
        <w:t>) Мурманским муниципальным казенным учреждением «Управление закупок». размещена информация о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51 по улице Радищева в городе Мурманске.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Наименование электронной площадки в информационно-телекоммуникационной сети «Интернет»: АО «Сбербанк-АСТ».</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Уполномоченное учреждение: Мурманское муниципальное казенное учреждение «Управление закупок» (далее Учреждение).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 Мурманское муниципальное казенное учреждение «Управление капитального строительства» (ММКУ УКС).</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Предмет закупки: выполнение работ по техническому обследованию несущих и ограждающих конструкций многоквартирного дома № 51 по улице Радищева, в городе Мурманске.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689028,74 рублей.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Окончание подачи заявок 25.12.2023.</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Подведение итогов: 26.12.2023.</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Протоколом подведения итогов определения поставщика (подрядчика, исполнителя) от 26.12.2023победителем запроса котировок в электронной форме признан участник закупки с идентификационным номером заявки 192 - индивидуальный предприниматель Дробот Николай Юрьевич.</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Не согласившись с результатами подведения итогов, участник закупки - общество с ограниченной ответственностью «Сириус Проект» (далее - Заявитель, Общество) 28.12.2023 обратилось в Мурманское УФАС России с жалобой на действия Заказчика и уполномоченного учреждения. Общество полагает, что индивидуальный предприниматель в силу положений градостроительного законодательства не вправе выполнять работы по обследованию многоквартирных жилых домов, в связи с чем заявка ИП Дробот должна быть отклонена.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Уполномоченное учреждение, Заказчик с доводами жалобы не согласились, представили свои устные и письменные возражения.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Жалоба рассмотрена дистанционно посредством сервиса веб-видеоконференцсвязи 12.01.2024.</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Мурманского УФАС России, изучив доводы Заявителя, выслушав возражения Учреждения, исследовав представленные сторонами документы и письменные возражения, приходит к следующим выводам.</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Рассматриваемые торги проведены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Подпунктом 2 пункта 1.1 части 1 раздела 1 электронного документа, размещенного в составе извещения (реестровый номер 0849300004923000613), «Требования к содержанию, составу заявки на участие в закупке и инструкции ее заполнению» установлено:</w:t>
      </w:r>
    </w:p>
    <w:p>
      <w:pPr>
        <w:pStyle w:val="Style13"/>
        <w:keepNext w:val="0"/>
        <w:keepLines w:val="0"/>
        <w:widowControl w:val="0"/>
        <w:numPr>
          <w:ilvl w:val="0"/>
          <w:numId w:val="1"/>
        </w:numPr>
        <w:shd w:val="clear" w:color="auto" w:fill="auto"/>
        <w:tabs>
          <w:tab w:pos="93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участник закупки должен быть </w:t>
      </w:r>
      <w:r>
        <w:rPr>
          <w:i/>
          <w:iCs/>
          <w:color w:val="000000"/>
          <w:spacing w:val="0"/>
          <w:w w:val="100"/>
          <w:position w:val="0"/>
          <w:sz w:val="24"/>
          <w:szCs w:val="24"/>
          <w:shd w:val="clear" w:color="auto" w:fill="auto"/>
          <w:lang w:val="ru-RU" w:eastAsia="ru-RU" w:bidi="ru-RU"/>
        </w:rPr>
        <w:t>индивидуальным предпринимателем или юридическим лицом - членом саморегулируемой организации</w:t>
      </w:r>
      <w:r>
        <w:rPr>
          <w:color w:val="000000"/>
          <w:spacing w:val="0"/>
          <w:w w:val="100"/>
          <w:position w:val="0"/>
          <w:sz w:val="24"/>
          <w:szCs w:val="24"/>
          <w:shd w:val="clear" w:color="auto" w:fill="auto"/>
          <w:lang w:val="ru-RU" w:eastAsia="ru-RU" w:bidi="ru-RU"/>
        </w:rPr>
        <w:t>, основанной на членстве лиц, выполняющих инженерные изыскания, и имеющей (сформировавшей) компенсационные фонды возмещения вреда и обеспечения договорных обязательств (далее - СРО).</w:t>
      </w:r>
    </w:p>
    <w:p>
      <w:pPr>
        <w:pStyle w:val="Style13"/>
        <w:keepNext w:val="0"/>
        <w:keepLines w:val="0"/>
        <w:widowControl w:val="0"/>
        <w:numPr>
          <w:ilvl w:val="0"/>
          <w:numId w:val="1"/>
        </w:numPr>
        <w:shd w:val="clear" w:color="auto" w:fill="auto"/>
        <w:tabs>
          <w:tab w:pos="91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участник закупки должен </w:t>
      </w:r>
      <w:r>
        <w:rPr>
          <w:i/>
          <w:iCs/>
          <w:color w:val="000000"/>
          <w:spacing w:val="0"/>
          <w:w w:val="100"/>
          <w:position w:val="0"/>
          <w:sz w:val="24"/>
          <w:szCs w:val="24"/>
          <w:shd w:val="clear" w:color="auto" w:fill="auto"/>
          <w:lang w:val="ru-RU" w:eastAsia="ru-RU" w:bidi="ru-RU"/>
        </w:rPr>
        <w:t>иметь право выполнять работы по договору подряда на выполнение инженерных изысканий</w:t>
      </w:r>
      <w:r>
        <w:rPr>
          <w:color w:val="000000"/>
          <w:spacing w:val="0"/>
          <w:w w:val="100"/>
          <w:position w:val="0"/>
          <w:sz w:val="24"/>
          <w:szCs w:val="24"/>
          <w:shd w:val="clear" w:color="auto" w:fill="auto"/>
          <w:lang w:val="ru-RU" w:eastAsia="ru-RU" w:bidi="ru-RU"/>
        </w:rPr>
        <w:t xml:space="preserve"> в отношении объекта капитального строительства (кроме особо опасных, технически сложных и уникальных объектов, объектов использования атомной энергии).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Соответствующая информация об участнике закупки должна быть включена в единый реестр сведений о членах саморегулируемых организаций и их обязательствах, предусмотренный статьей 55.17 Градостроительного кодекса Российской Федерации (далее ГрК РФ).</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Требование установлено на основании статей 47, 55.8, 55.17 ГрК РФ и не распространяется на участников закупки, указанных в части 2.1 статьи 47 ГрК РФ. В соответствии с подпунктом «н» пункта 1 части 1 статьи 43, частью 1 статьи 50 Закона о контрактной системе в сфере закупок в качестве документов, подтверждающих соответствие участника закупки требованиям, установленным в соответствии с пунктом 1 части 1 статьи 31 Закона о контрактной системе в сфере закупок в извещении об осуществлении закупки, сформированном с использованием ЕИС, в том числе в настоящем подпункте, рассматривается документ, предусмотренный подпунктом «ж» пункта 2.1 части 2 раздела I настоящего электронного документа и направленный уполномоченному учреждению оператором электронной площадки путем информационного взаимодействия с ЕИС.</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Предоставление какого-либо документа участником закупки в составе заявки на участие в закупке не требуется, так как это не предусмотрено действующим законодательством Российской Федерации.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Комиссия по осуществлению закупок ММКУ «Управление закупок» будет проверять соответствие участника закупки установленному требованию по данным единого реестра сведений о членах саморегулируемых организаций и их обязательствах, предусмотренного статьей 55.17 ГрК РФ.</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Таким образом, Извещением о проведении запроса котировок установлено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 без ограничения участия в закупке лиц, обладающих статусом «индивидуальный предприниматель».</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подпунктом «а» пункта 1 части 3 статьи 50 Закона о контрактной системе в сфере закупок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в сфере закупок,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 в сфере закупок.</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частью 9 статьи 24, подпунктом «б» пункта 1 части 3 статьи 50 Закона о контрактной системе, Протоколом подведения итогов определения поставщика (подрядчика, исполнителя) от 26.12.2023 победителем запроса котировок признан индивидуальный предприниматель Дробот Н.Ю., который является членом саморегулируемой организации, и заявка которого в полной мере соответствует требованиям Извещения.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Таким образом, действия Комиссия по осуществлению закупок ММКУ «Управление закупок», признавшей победителем закупки участника закупки с идентификационным номером </w:t>
      </w:r>
      <w:r>
        <w:rPr>
          <w:color w:val="000000"/>
          <w:spacing w:val="0"/>
          <w:w w:val="100"/>
          <w:position w:val="0"/>
          <w:sz w:val="24"/>
          <w:szCs w:val="24"/>
          <w:shd w:val="clear" w:color="auto" w:fill="auto"/>
          <w:lang w:val="ru-RU" w:eastAsia="ru-RU" w:bidi="ru-RU"/>
        </w:rPr>
        <w:t>заявки 192 индивидуального предпринимателя Дробот Н.Ю. не противоречат требованиям законодательства о контрактной системе.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Кроме того, ООО «Сириус Проект» обжалует положения Извещения о проведении закупки, в части возможности участия в закупке индивидуальных предпринимателей.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 Заявитель, со ссылкой на положения абзаца 2 пункта 4 статьи 55.26-1 ГрК РФ, пункта 44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 а так же пункта 2.1 Методических рекомендации по оценке технических заключений специализированных организаций по обследованию технического состояния многоквартирных домов, утвержденных Госкорпорацией «Фонд содействия реформированию ЖКХ» 30.12.2020, указывает, что работы по обследованию жилых многоквартирных домов для получение заключений, необходимых для принятия решений о признании жилых помещений непригодными для проживания и подлежащим сносу или реконструкции могут выполняться только юридическими лицами. По мнению ООО «Сириус Проект», лица, обладающие статусом «индивидуальный предприниматель» в силу положений градостроительного законодательства указанные работы осуществлять не вправе.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Данный довод жалобы рассмотрен Комиссией Мурманского УФАС России в рамках внеплановой проверки в соответствии с пунктом 1 части 15 статьи 99 Закона о контрактной системе.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Постановлением Администрации города Мурманска от 17.01.2022 № 46 многоквартирный дом № 51, расположенный на улице Радищева, в городе Мурманске признан аварийным и подлежащим сносу.</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7 электронного документа «Описание объекта закупки», размещенного в составе извещения, определены цели и задачи инженерных изысканий: определение действительного технического состояния многоквартирного жилого дома и его элементов, получение количественной оценки фактических показателей качества конструкций с учетом изменений, происходящих во времени, для установления состава и объема работ по капитальному ремонту, реконструкции или сносу здания.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10 «Описание объекта закупки», определено задание на отдельные виды работ в составе инженерных изысканий: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Обмерные работы несущих и ограждающих конструкций здания с составлением поэтажных планов, плана чердачного помещения, поперечных и продольных разрезов, фасадов выполнить в соответствии с требованиями СП 13-102-2003 «Правила обследования несущих строительных конструкций зданий и сооружений» (далее СП 13-102-2003);</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Обследование несущих и ограждающих конструкций здания выполнить в соответствии с требованиями ГОСТ 31937-2011 «Межгосударственный стандарт. Здания и сооружения. Правила обследования и мониторинга технического состояния» (далее - ГОСТ 31937-2011).</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Подпунктом 22 пункта 1 Технического задания приложения к проекту контракта, размещенного в составе извещения, установлено: материалы и результаты инженерных изысканий оформляются в виде отчетной документации (технического отчета, заключения) о выполнении инженерных изысканий.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Пунктом 1.1. СП 13-102-2003 определено предназначение правил для применения при обследовании строительных конструкций зданий и сооружений жилищного, общественного, административно-бытового и производственного назначения с целью определения их технического состояния, а также их использование при решении вопросов о пригодности жилых домов для проживания в них. Правила регламентируют процедуру проведения обследования </w:t>
      </w:r>
      <w:r>
        <w:rPr>
          <w:color w:val="000000"/>
          <w:spacing w:val="0"/>
          <w:w w:val="100"/>
          <w:position w:val="0"/>
          <w:sz w:val="24"/>
          <w:szCs w:val="24"/>
          <w:shd w:val="clear" w:color="auto" w:fill="auto"/>
          <w:lang w:val="ru-RU" w:eastAsia="ru-RU" w:bidi="ru-RU"/>
        </w:rPr>
        <w:t>строительных конструкций, определяют принципиальную схему и состав работ, позволяющих объективно оценить техническое состояние, фактическую несущую способность конструкций и, в случае необходимости, принять обоснованные технические решения по ремонтно</w:t>
        <w:softHyphen/>
        <w:t>восстановительным мероприятиям или способам усилений.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3.4 ГОСТа 31937-2011 обследование технического состояния здания (сооружения): комплекс мероприятий по определению и оценке фактических значений контролируемых параметров, характеризующих работоспособность объекта обследования и определяющих возможность его дальнейшей эксплуатации, реконструкции или необходимость восстановления, усиления, ремонта, и включающий в себя обследование грунтов основания и строительных конструкций на предмет выявления изменения свойств грунтов, деформационных повреждений, дефектов несущих конструкций и определения их фактической несущей способности.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Учитывая изложенное, Комиссия Мурманского УФАС России, приходит к выводу, что предметом закупки не является получение заключения специализированной организаций, необходимого для принятия решения о признании жилых помещений соответствующими (не соответствующими) требованиям, установленным в Положении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перечнем видов инженерных изысканий, утвержденным Постановлением Правительства Российской Федерации от 19 января 2006 г. № 20 «Об инженерных изысканиях для подготовки проектной документации, строительства, реконструкции объектов капитального строительства», обследования состояния грунтов оснований зданий и сооружений, их строительных конструкций относится к специальным видам инженерных изысканий.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соответствии с частью 2 статьи 47 Гр РФ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w:t>
      </w:r>
      <w:r>
        <w:rPr>
          <w:i/>
          <w:iCs/>
          <w:color w:val="000000"/>
          <w:spacing w:val="0"/>
          <w:w w:val="100"/>
          <w:position w:val="0"/>
          <w:sz w:val="24"/>
          <w:szCs w:val="24"/>
          <w:shd w:val="clear" w:color="auto" w:fill="auto"/>
          <w:lang w:val="ru-RU" w:eastAsia="ru-RU" w:bidi="ru-RU"/>
        </w:rPr>
        <w:t>индивидуальными предпринимателями</w:t>
      </w:r>
      <w:r>
        <w:rPr>
          <w:color w:val="000000"/>
          <w:spacing w:val="0"/>
          <w:w w:val="100"/>
          <w:position w:val="0"/>
          <w:sz w:val="24"/>
          <w:szCs w:val="24"/>
          <w:shd w:val="clear" w:color="auto" w:fill="auto"/>
          <w:lang w:val="ru-RU" w:eastAsia="ru-RU" w:bidi="ru-RU"/>
        </w:rPr>
        <w:t xml:space="preserve"> или юридическими лицами, </w:t>
      </w:r>
      <w:r>
        <w:rPr>
          <w:i/>
          <w:iCs/>
          <w:color w:val="000000"/>
          <w:spacing w:val="0"/>
          <w:w w:val="100"/>
          <w:position w:val="0"/>
          <w:sz w:val="24"/>
          <w:szCs w:val="24"/>
          <w:shd w:val="clear" w:color="auto" w:fill="auto"/>
          <w:lang w:val="ru-RU" w:eastAsia="ru-RU" w:bidi="ru-RU"/>
        </w:rPr>
        <w:t>которые являются членами саморегулируемых организаций в области инженерных изысканий</w:t>
      </w:r>
      <w:r>
        <w:rPr>
          <w:color w:val="000000"/>
          <w:spacing w:val="0"/>
          <w:w w:val="100"/>
          <w:position w:val="0"/>
          <w:sz w:val="24"/>
          <w:szCs w:val="24"/>
          <w:shd w:val="clear" w:color="auto" w:fill="auto"/>
          <w:lang w:val="ru-RU" w:eastAsia="ru-RU" w:bidi="ru-RU"/>
        </w:rPr>
        <w:t>,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Мурманского УФАС России, полагает, нормы законодательства, на которые ссылается Заявитель в своей жалобе, не применимы к объекту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Более того, согласно части 3 статьи 9 Федерального закона от 30.12.2021 № 447-ФЗ «О внесении изменений в Градостроительный кодекс Российской Федерации и отдельные законодательные акты Российской Федерации», в связи с отсутствием в настоящее время утвержденного порядка признания объектов капитального строительства аварийными и подлежащими сносу или реконструкции, положения статьи 55.26-1 ГрК РФ не применяются.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изложенного, Комиссия Мурманского УФАС приходит к выводу о необоснованности доводов жалобы ООО «Сириус Проект».</w:t>
      </w:r>
      <w:r>
        <w:br w:type="page"/>
      </w:r>
    </w:p>
    <w:p>
      <w:pPr>
        <w:pStyle w:val="Style13"/>
        <w:keepNext w:val="0"/>
        <w:keepLines w:val="0"/>
        <w:widowControl w:val="0"/>
        <w:shd w:val="clear" w:color="auto" w:fill="auto"/>
        <w:bidi w:val="0"/>
        <w:spacing w:before="0" w:after="0" w:line="254" w:lineRule="auto"/>
        <w:ind w:left="0" w:right="0" w:firstLine="700"/>
        <w:jc w:val="both"/>
      </w:pPr>
      <w:r>
        <w:rPr>
          <w:color w:val="000000"/>
          <w:spacing w:val="0"/>
          <w:w w:val="100"/>
          <w:position w:val="0"/>
          <w:sz w:val="24"/>
          <w:szCs w:val="24"/>
          <w:shd w:val="clear" w:color="auto" w:fill="auto"/>
          <w:lang w:val="ru-RU" w:eastAsia="ru-RU" w:bidi="ru-RU"/>
        </w:rPr>
        <w:t>Комиссия Мурманского УФАС России, руководствуясь статьями 99, 106 Закона о контрактной системе,</w:t>
      </w:r>
    </w:p>
    <w:p>
      <w:pPr>
        <w:pStyle w:val="Style13"/>
        <w:keepNext w:val="0"/>
        <w:keepLines w:val="0"/>
        <w:widowControl w:val="0"/>
        <w:shd w:val="clear" w:color="auto" w:fill="auto"/>
        <w:bidi w:val="0"/>
        <w:spacing w:before="0" w:after="260" w:line="254"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3"/>
        <w:keepNext w:val="0"/>
        <w:keepLines w:val="0"/>
        <w:widowControl w:val="0"/>
        <w:shd w:val="clear" w:color="auto" w:fill="auto"/>
        <w:bidi w:val="0"/>
        <w:spacing w:before="0" w:after="260"/>
        <w:ind w:left="0" w:right="0" w:firstLine="700"/>
        <w:jc w:val="both"/>
      </w:pPr>
      <w:r>
        <w:rPr>
          <w:color w:val="000000"/>
          <w:spacing w:val="0"/>
          <w:w w:val="100"/>
          <w:position w:val="0"/>
          <w:sz w:val="24"/>
          <w:szCs w:val="24"/>
          <w:shd w:val="clear" w:color="auto" w:fill="auto"/>
          <w:lang w:val="ru-RU" w:eastAsia="ru-RU" w:bidi="ru-RU"/>
        </w:rPr>
        <w:t>1. Признать жалобу общества с ограниченной ответственностью «Сириус Проект» на действия Мурманского муниципального казенного учреждения «Управление закупок» и Мурманского муниципального казенного учреждения «Управление капитального строительства» (ММКУ УКС) при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51 по улице Радищева в городе Мурманске. (Извещение № 0849300004923000613) необоснованной.</w:t>
      </w:r>
    </w:p>
    <w:p>
      <w:pPr>
        <w:pStyle w:val="Style13"/>
        <w:keepNext w:val="0"/>
        <w:keepLines w:val="0"/>
        <w:widowControl w:val="0"/>
        <w:shd w:val="clear" w:color="auto" w:fill="auto"/>
        <w:bidi w:val="0"/>
        <w:spacing w:before="0" w:after="0" w:line="259" w:lineRule="auto"/>
        <w:ind w:left="0" w:right="0" w:firstLine="700"/>
        <w:jc w:val="both"/>
      </w:pPr>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трёх месяцев со дня его принятия.</w:t>
      </w:r>
    </w:p>
    <w:p>
      <w:pPr>
        <w:widowControl w:val="0"/>
        <w:spacing w:line="1" w:lineRule="exact"/>
        <w:sectPr>
          <w:footnotePr>
            <w:pos w:val="pageBottom"/>
            <w:numFmt w:val="decimal"/>
            <w:numRestart w:val="continuous"/>
          </w:footnotePr>
          <w:type w:val="continuous"/>
          <w:pgSz w:w="11900" w:h="16840"/>
          <w:pgMar w:top="1000" w:right="791" w:bottom="1140" w:left="1077" w:header="0" w:footer="3" w:gutter="0"/>
          <w:cols w:space="720"/>
          <w:noEndnote/>
          <w:rtlGutter w:val="0"/>
          <w:docGrid w:linePitch="360"/>
        </w:sectPr>
      </w:pPr>
      <w:r>
        <mc:AlternateContent>
          <mc:Choice Requires="wps">
            <w:drawing>
              <wp:anchor distT="459105" distB="152400" distL="0" distR="0" simplePos="0" relativeHeight="125829380" behindDoc="0" locked="0" layoutInCell="1" allowOverlap="1">
                <wp:simplePos x="0" y="0"/>
                <wp:positionH relativeFrom="page">
                  <wp:posOffset>738505</wp:posOffset>
                </wp:positionH>
                <wp:positionV relativeFrom="paragraph">
                  <wp:posOffset>459105</wp:posOffset>
                </wp:positionV>
                <wp:extent cx="1572895" cy="219710"/>
                <wp:wrapTopAndBottom/>
                <wp:docPr id="7" name="Shape 7"/>
                <a:graphic xmlns:a="http://schemas.openxmlformats.org/drawingml/2006/main">
                  <a:graphicData uri="http://schemas.microsoft.com/office/word/2010/wordprocessingShape">
                    <wps:wsp>
                      <wps:cNvSpPr txBox="1"/>
                      <wps:spPr>
                        <a:xfrm>
                          <a:ext cx="1572895" cy="2197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149999999999999pt;margin-top:36.149999999999999pt;width:123.85000000000001pt;height:17.300000000000001pt;z-index:-125829373;mso-wrap-distance-left:0;mso-wrap-distance-top:36.149999999999999pt;mso-wrap-distance-right:0;mso-wrap-distance-bottom:1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431800" distB="0" distL="0" distR="1789430" simplePos="0" relativeHeight="125829382" behindDoc="0" locked="0" layoutInCell="1" allowOverlap="1">
            <wp:simplePos x="0" y="0"/>
            <wp:positionH relativeFrom="page">
              <wp:posOffset>2966720</wp:posOffset>
            </wp:positionH>
            <wp:positionV relativeFrom="paragraph">
              <wp:posOffset>431800</wp:posOffset>
            </wp:positionV>
            <wp:extent cx="353695" cy="40259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3384550</wp:posOffset>
                </wp:positionH>
                <wp:positionV relativeFrom="paragraph">
                  <wp:posOffset>523240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66.5pt;margin-top:41.200000000000003pt;width:135.84999999999999pt;height:20.15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459105" distB="152400" distL="0" distR="0" simplePos="0" relativeHeight="125829383" behindDoc="0" locked="0" layoutInCell="1" allowOverlap="1">
                <wp:simplePos x="0" y="0"/>
                <wp:positionH relativeFrom="page">
                  <wp:posOffset>6020435</wp:posOffset>
                </wp:positionH>
                <wp:positionV relativeFrom="paragraph">
                  <wp:posOffset>459105</wp:posOffset>
                </wp:positionV>
                <wp:extent cx="993775" cy="219710"/>
                <wp:wrapTopAndBottom/>
                <wp:docPr id="13" name="Shape 13"/>
                <a:graphic xmlns:a="http://schemas.openxmlformats.org/drawingml/2006/main">
                  <a:graphicData uri="http://schemas.microsoft.com/office/word/2010/wordprocessingShape">
                    <wps:wsp>
                      <wps:cNvSpPr txBox="1"/>
                      <wps:spPr>
                        <a:xfrm>
                          <a:ext cx="993775" cy="2197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Калитина</w:t>
                            </w:r>
                          </w:p>
                        </w:txbxContent>
                      </wps:txbx>
                      <wps:bodyPr wrap="none" lIns="0" tIns="0" rIns="0" bIns="0">
                        <a:noAutoFit/>
                      </wps:bodyPr>
                    </wps:wsp>
                  </a:graphicData>
                </a:graphic>
              </wp:anchor>
            </w:drawing>
          </mc:Choice>
          <mc:Fallback>
            <w:pict>
              <v:shape id="_x0000_s1039" type="#_x0000_t202" style="position:absolute;margin-left:474.05000000000001pt;margin-top:36.149999999999999pt;width:78.25pt;height:17.300000000000001pt;z-index:-125829370;mso-wrap-distance-left:0;mso-wrap-distance-top:36.149999999999999pt;mso-wrap-distance-right:0;mso-wrap-distance-bottom:1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Калитина</w:t>
                      </w:r>
                    </w:p>
                  </w:txbxContent>
                </v:textbox>
                <w10:wrap type="topAndBottom" anchorx="page"/>
              </v:shape>
            </w:pict>
          </mc:Fallback>
        </mc:AlternateContent>
      </w:r>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26262"/>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Калитина Наталия Александровна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18181"/>
          <w:spacing w:val="0"/>
          <w:w w:val="100"/>
          <w:position w:val="0"/>
          <w:shd w:val="clear" w:color="auto" w:fill="auto"/>
          <w:lang w:val="ru-RU" w:eastAsia="ru-RU" w:bidi="ru-RU"/>
        </w:rPr>
        <w:t>1</w:t>
      </w:r>
      <w:r>
        <w:rPr>
          <w:color w:val="626262"/>
          <w:spacing w:val="0"/>
          <w:w w:val="100"/>
          <w:position w:val="0"/>
          <w:shd w:val="clear" w:color="auto" w:fill="auto"/>
          <w:lang w:val="ru-RU" w:eastAsia="ru-RU" w:bidi="ru-RU"/>
        </w:rPr>
        <w:t xml:space="preserve">132В001 </w:t>
      </w:r>
      <w:r>
        <w:rPr>
          <w:spacing w:val="0"/>
          <w:w w:val="100"/>
          <w:position w:val="0"/>
          <w:shd w:val="clear" w:color="auto" w:fill="auto"/>
          <w:lang w:val="ru-RU" w:eastAsia="ru-RU" w:bidi="ru-RU"/>
        </w:rPr>
        <w:t>Р390444Е3409А0816879Е090</w:t>
      </w:r>
    </w:p>
    <w:p>
      <w:pPr>
        <w:pStyle w:val="Style27"/>
        <w:keepNext w:val="0"/>
        <w:keepLines w:val="0"/>
        <w:widowControl w:val="0"/>
        <w:shd w:val="clear" w:color="auto" w:fill="auto"/>
        <w:bidi w:val="0"/>
        <w:spacing w:before="0" w:after="500" w:line="240" w:lineRule="auto"/>
        <w:ind w:right="0" w:firstLine="0"/>
        <w:jc w:val="left"/>
      </w:pPr>
      <w:r>
        <w:rPr>
          <w:color w:val="626262"/>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26262"/>
          <w:spacing w:val="0"/>
          <w:w w:val="100"/>
          <w:position w:val="0"/>
          <w:shd w:val="clear" w:color="auto" w:fill="auto"/>
          <w:lang w:val="ru-RU" w:eastAsia="ru-RU" w:bidi="ru-RU"/>
        </w:rPr>
        <w:t xml:space="preserve">22.05.2023 </w:t>
      </w:r>
      <w:r>
        <w:rPr>
          <w:spacing w:val="0"/>
          <w:w w:val="100"/>
          <w:position w:val="0"/>
          <w:shd w:val="clear" w:color="auto" w:fill="auto"/>
          <w:lang w:val="ru-RU" w:eastAsia="ru-RU" w:bidi="ru-RU"/>
        </w:rPr>
        <w:t xml:space="preserve">по </w:t>
      </w:r>
      <w:r>
        <w:rPr>
          <w:color w:val="626262"/>
          <w:spacing w:val="0"/>
          <w:w w:val="100"/>
          <w:position w:val="0"/>
          <w:shd w:val="clear" w:color="auto" w:fill="auto"/>
          <w:lang w:val="ru-RU" w:eastAsia="ru-RU" w:bidi="ru-RU"/>
        </w:rPr>
        <w:t>14.08.2024</w:t>
      </w:r>
    </w:p>
    <w:p>
      <w:pPr>
        <w:pStyle w:val="Style13"/>
        <w:keepNext w:val="0"/>
        <w:keepLines w:val="0"/>
        <w:widowControl w:val="0"/>
        <w:shd w:val="clear" w:color="auto" w:fill="auto"/>
        <w:bidi w:val="0"/>
        <w:spacing w:before="0" w:after="360" w:line="240" w:lineRule="auto"/>
        <w:ind w:left="0" w:right="0" w:firstLine="0"/>
        <w:jc w:val="left"/>
      </w:pPr>
      <w:r>
        <w:drawing>
          <wp:anchor distT="0" distB="0" distL="114300" distR="1900555" simplePos="0" relativeHeight="125829385" behindDoc="0" locked="0" layoutInCell="1" allowOverlap="1">
            <wp:simplePos x="0" y="0"/>
            <wp:positionH relativeFrom="page">
              <wp:posOffset>3000375</wp:posOffset>
            </wp:positionH>
            <wp:positionV relativeFrom="paragraph">
              <wp:posOffset>368300</wp:posOffset>
            </wp:positionV>
            <wp:extent cx="359410"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9410"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3463925</wp:posOffset>
                </wp:positionH>
                <wp:positionV relativeFrom="paragraph">
                  <wp:posOffset>770890</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72.75pt;margin-top:60.700000000000003pt;width:101.05pt;height:8.1500000000000004pt;z-index:251657731;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3420745</wp:posOffset>
                </wp:positionH>
                <wp:positionV relativeFrom="paragraph">
                  <wp:posOffset>459740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69.35000000000002pt;margin-top:36.200000000000003pt;width:135.59999999999999pt;height:20.15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500" w:line="240" w:lineRule="auto"/>
        <w:ind w:left="0" w:right="0" w:firstLine="920"/>
        <w:jc w:val="left"/>
      </w:pPr>
      <w:r>
        <w:rPr>
          <w:color w:val="000000"/>
          <w:spacing w:val="0"/>
          <w:w w:val="100"/>
          <w:position w:val="0"/>
          <w:sz w:val="24"/>
          <w:szCs w:val="24"/>
          <w:shd w:val="clear" w:color="auto" w:fill="auto"/>
          <w:lang w:val="ru-RU" w:eastAsia="ru-RU" w:bidi="ru-RU"/>
        </w:rPr>
        <w:t>М.Е.Гребенюкова</w:t>
      </w:r>
    </w:p>
    <w:p>
      <w:pPr>
        <w:pStyle w:val="Style27"/>
        <w:keepNext w:val="0"/>
        <w:keepLines w:val="0"/>
        <w:widowControl w:val="0"/>
        <w:shd w:val="clear" w:color="auto" w:fill="auto"/>
        <w:bidi w:val="0"/>
        <w:spacing w:before="0" w:after="0" w:line="240" w:lineRule="auto"/>
        <w:ind w:left="3640" w:right="0" w:firstLine="0"/>
        <w:jc w:val="left"/>
        <w:rPr>
          <w:sz w:val="11"/>
          <w:szCs w:val="11"/>
        </w:rPr>
      </w:pPr>
      <w:r>
        <w:rPr>
          <w:color w:val="818181"/>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Гребенюкова Маргарита Евгеньевна</w:t>
      </w:r>
    </w:p>
    <w:p>
      <w:pPr>
        <w:pStyle w:val="Style27"/>
        <w:keepNext w:val="0"/>
        <w:keepLines w:val="0"/>
        <w:widowControl w:val="0"/>
        <w:shd w:val="clear" w:color="auto" w:fill="auto"/>
        <w:bidi w:val="0"/>
        <w:spacing w:before="0" w:after="0" w:line="240" w:lineRule="auto"/>
        <w:ind w:left="364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00070С5В0270А32676СА50332С73Е726С</w:t>
      </w:r>
      <w:r>
        <w:rPr>
          <w:spacing w:val="0"/>
          <w:w w:val="100"/>
          <w:position w:val="0"/>
          <w:shd w:val="clear" w:color="auto" w:fill="auto"/>
          <w:lang w:val="ru-RU" w:eastAsia="ru-RU" w:bidi="ru-RU"/>
        </w:rPr>
        <w:t>В</w:t>
      </w:r>
    </w:p>
    <w:p>
      <w:pPr>
        <w:pStyle w:val="Style27"/>
        <w:keepNext w:val="0"/>
        <w:keepLines w:val="0"/>
        <w:widowControl w:val="0"/>
        <w:shd w:val="clear" w:color="auto" w:fill="auto"/>
        <w:bidi w:val="0"/>
        <w:spacing w:before="0" w:after="780" w:line="240" w:lineRule="auto"/>
        <w:ind w:left="3640" w:right="0" w:firstLine="0"/>
        <w:jc w:val="left"/>
      </w:pPr>
      <w:r>
        <w:drawing>
          <wp:anchor distT="0" distB="0" distL="114300" distR="1900555" simplePos="0" relativeHeight="125829386" behindDoc="0" locked="0" layoutInCell="1" allowOverlap="1">
            <wp:simplePos x="0" y="0"/>
            <wp:positionH relativeFrom="page">
              <wp:posOffset>2954655</wp:posOffset>
            </wp:positionH>
            <wp:positionV relativeFrom="paragraph">
              <wp:posOffset>571500</wp:posOffset>
            </wp:positionV>
            <wp:extent cx="359410"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3375025</wp:posOffset>
                </wp:positionH>
                <wp:positionV relativeFrom="paragraph">
                  <wp:posOffset>662940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65.75pt;margin-top:52.200000000000003pt;width:135.59999999999999pt;height:20.15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626262"/>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05.12.2022 </w:t>
      </w:r>
      <w:r>
        <w:rPr>
          <w:color w:val="818181"/>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28.02.2024</w:t>
      </w:r>
    </w:p>
    <w:p>
      <w:pPr>
        <w:pStyle w:val="Style13"/>
        <w:keepNext w:val="0"/>
        <w:keepLines w:val="0"/>
        <w:widowControl w:val="0"/>
        <w:shd w:val="clear" w:color="auto" w:fill="auto"/>
        <w:bidi w:val="0"/>
        <w:spacing w:before="0" w:after="270" w:line="240" w:lineRule="auto"/>
        <w:ind w:left="1260" w:right="0" w:firstLine="0"/>
        <w:jc w:val="left"/>
      </w:pPr>
      <w:r>
        <w:rPr>
          <w:color w:val="000000"/>
          <w:spacing w:val="0"/>
          <w:w w:val="100"/>
          <w:position w:val="0"/>
          <w:sz w:val="24"/>
          <w:szCs w:val="24"/>
          <w:shd w:val="clear" w:color="auto" w:fill="auto"/>
          <w:lang w:val="ru-RU" w:eastAsia="ru-RU" w:bidi="ru-RU"/>
        </w:rPr>
        <w:t>Н.И.Чоповская</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EAEAEA"/>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26262"/>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Поповская Наталья Ивановна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00О6А9А94649ВЕВВ52ВА969С9198921551</w:t>
      </w:r>
    </w:p>
    <w:p>
      <w:pPr>
        <w:pStyle w:val="Style27"/>
        <w:keepNext w:val="0"/>
        <w:keepLines w:val="0"/>
        <w:widowControl w:val="0"/>
        <w:shd w:val="clear" w:color="auto" w:fill="auto"/>
        <w:bidi w:val="0"/>
        <w:spacing w:before="0" w:after="3280" w:line="240" w:lineRule="auto"/>
        <w:ind w:right="0" w:firstLine="0"/>
        <w:jc w:val="left"/>
      </w:pPr>
      <w:r>
        <w:rPr>
          <w:color w:val="626262"/>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19.09.2023 </w:t>
      </w:r>
      <w:r>
        <w:rPr>
          <w:color w:val="626262"/>
          <w:spacing w:val="0"/>
          <w:w w:val="100"/>
          <w:position w:val="0"/>
          <w:shd w:val="clear" w:color="auto" w:fill="auto"/>
          <w:lang w:val="ru-RU" w:eastAsia="ru-RU" w:bidi="ru-RU"/>
        </w:rPr>
        <w:t>по 12.12.2024</w:t>
      </w:r>
    </w:p>
    <w:p>
      <w:pPr>
        <w:pStyle w:val="Style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Исп.Чоповская Н.И. тел.68-50-53</w:t>
      </w:r>
    </w:p>
    <w:sectPr>
      <w:footnotePr>
        <w:pos w:val="pageBottom"/>
        <w:numFmt w:val="decimal"/>
        <w:numRestart w:val="continuous"/>
      </w:footnotePr>
      <w:type w:val="continuous"/>
      <w:pgSz w:w="11900" w:h="16840"/>
      <w:pgMar w:top="1110" w:right="829" w:bottom="1110"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726440</wp:posOffset>
              </wp:positionH>
              <wp:positionV relativeFrom="page">
                <wp:posOffset>10033000</wp:posOffset>
              </wp:positionV>
              <wp:extent cx="572770" cy="100330"/>
              <wp:wrapNone/>
              <wp:docPr id="1" name="Shape 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200000000000003pt;margin-top:790.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2024-204</w:t>
                          </w:r>
                        </w:p>
                      </w:txbxContent>
                    </wps:txbx>
                    <wps:bodyPr wrap="none" lIns="0" tIns="0" rIns="0" bIns="0">
                      <a:spAutoFit/>
                    </wps:bodyPr>
                  </wps:wsp>
                </a:graphicData>
              </a:graphic>
            </wp:anchor>
          </w:drawing>
        </mc:Choice>
        <mc:Fallback>
          <w:pict>
            <v:shape id="_x0000_s1029"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2"/>
      <w:szCs w:val="32"/>
      <w:u w:val="none"/>
    </w:rPr>
  </w:style>
  <w:style w:type="character" w:customStyle="1" w:styleId="CharStyle26">
    <w:name w:val="Основной текст (5)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404040"/>
      <w:sz w:val="12"/>
      <w:szCs w:val="12"/>
      <w:u w:val="none"/>
    </w:rPr>
  </w:style>
  <w:style w:type="paragraph" w:customStyle="1" w:styleId="Style2">
    <w:name w:val="Основной текст (3)"/>
    <w:basedOn w:val="Normal"/>
    <w:link w:val="CharStyle3"/>
    <w:pPr>
      <w:widowControl w:val="0"/>
      <w:shd w:val="clear" w:color="auto" w:fill="auto"/>
      <w:spacing w:after="40" w:line="257"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38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0">
    <w:name w:val="Заголовок №2"/>
    <w:basedOn w:val="Normal"/>
    <w:link w:val="CharStyle11"/>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3">
    <w:name w:val="Основной текст"/>
    <w:basedOn w:val="Normal"/>
    <w:link w:val="CharStyle14"/>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Подпись к картинке"/>
    <w:basedOn w:val="Normal"/>
    <w:link w:val="CharStyle1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0">
    <w:name w:val="Заголовок №1"/>
    <w:basedOn w:val="Normal"/>
    <w:link w:val="CharStyle21"/>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5">
    <w:name w:val="Основной текст (5)"/>
    <w:basedOn w:val="Normal"/>
    <w:link w:val="CharStyle26"/>
    <w:pPr>
      <w:widowControl w:val="0"/>
      <w:shd w:val="clear" w:color="auto" w:fill="auto"/>
      <w:spacing w:after="100"/>
      <w:ind w:left="4280"/>
    </w:pPr>
    <w:rPr>
      <w:rFonts w:ascii="Georgia" w:eastAsia="Georgia" w:hAnsi="Georgia" w:cs="Georgia"/>
      <w:b w:val="0"/>
      <w:bCs w:val="0"/>
      <w:i w:val="0"/>
      <w:iCs w:val="0"/>
      <w:smallCaps w:val="0"/>
      <w:strike w:val="0"/>
      <w:color w:val="EBEBEB"/>
      <w:sz w:val="12"/>
      <w:szCs w:val="12"/>
      <w:u w:val="none"/>
    </w:rPr>
  </w:style>
  <w:style w:type="paragraph" w:customStyle="1" w:styleId="Style27">
    <w:name w:val="Основной текст (2)"/>
    <w:basedOn w:val="Normal"/>
    <w:link w:val="CharStyle28"/>
    <w:pPr>
      <w:widowControl w:val="0"/>
      <w:shd w:val="clear" w:color="auto" w:fill="auto"/>
      <w:ind w:left="356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