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Мурманской области</w:t>
      </w:r>
    </w:p>
    <w:p>
      <w:pPr>
        <w:pStyle w:val="Style5"/>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ул. Академика Книповича, 9а, г. Мурманск, 183038</w:t>
        <w:br/>
        <w:t>тел. (8152) 68-50-43, факс (8152) 68-50-43</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е-тай: ю51 @Гав.§оу.ги</w:t>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НК/183/24</w:t>
      </w:r>
      <w:bookmarkEnd w:id="0"/>
    </w:p>
    <w:p>
      <w:pPr>
        <w:pStyle w:val="Style13"/>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4460A2"/>
          <w:spacing w:val="0"/>
          <w:w w:val="100"/>
          <w:position w:val="0"/>
          <w:sz w:val="18"/>
          <w:szCs w:val="18"/>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Мурманское муниципальное казенное учреждение «Управление закупок» 44-Г2@сйутигтап§к.ги</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Мурманское муниципальное казенное учреждение «Управление капитального строительства» ик§тигтап@уап4ех.ги</w:t>
      </w:r>
    </w:p>
    <w:p>
      <w:pPr>
        <w:pStyle w:val="Style16"/>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94" w:right="1064" w:bottom="1232" w:left="1140" w:header="0" w:footer="3" w:gutter="0"/>
          <w:pgNumType w:start="1"/>
          <w:cols w:num="2" w:space="826"/>
          <w:noEndnote/>
          <w:rtlGutter w:val="0"/>
          <w:docGrid w:linePitch="360"/>
        </w:sectPr>
      </w:pPr>
      <w:r>
        <w:rPr>
          <w:color w:val="000000"/>
          <w:spacing w:val="0"/>
          <w:w w:val="100"/>
          <w:position w:val="0"/>
          <w:shd w:val="clear" w:color="auto" w:fill="auto"/>
          <w:lang w:val="ru-RU" w:eastAsia="ru-RU" w:bidi="ru-RU"/>
        </w:rPr>
        <w:t>ООО «Сириус Проект» тГо@8ти8-ргоек1:.ги</w:t>
      </w:r>
    </w:p>
    <w:p>
      <w:pPr>
        <w:widowControl w:val="0"/>
        <w:spacing w:line="33" w:lineRule="exact"/>
        <w:rPr>
          <w:sz w:val="3"/>
          <w:szCs w:val="3"/>
        </w:rPr>
      </w:pPr>
    </w:p>
    <w:p>
      <w:pPr>
        <w:widowControl w:val="0"/>
        <w:spacing w:line="1" w:lineRule="exact"/>
        <w:sectPr>
          <w:footnotePr>
            <w:pos w:val="pageBottom"/>
            <w:numFmt w:val="decimal"/>
            <w:numRestart w:val="continuous"/>
          </w:footnotePr>
          <w:type w:val="continuous"/>
          <w:pgSz w:w="11900" w:h="16840"/>
          <w:pgMar w:top="111" w:right="0" w:bottom="1415"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051/06/106-882/2023</w:t>
      </w:r>
    </w:p>
    <w:p>
      <w:pPr>
        <w:pStyle w:val="Style16"/>
        <w:keepNext w:val="0"/>
        <w:keepLines w:val="0"/>
        <w:widowControl w:val="0"/>
        <w:shd w:val="clear" w:color="auto" w:fill="auto"/>
        <w:tabs>
          <w:tab w:pos="7993" w:val="left"/>
        </w:tabs>
        <w:bidi w:val="0"/>
        <w:spacing w:before="0" w:after="260" w:line="240" w:lineRule="auto"/>
        <w:ind w:left="0" w:right="0" w:firstLine="740"/>
        <w:jc w:val="both"/>
      </w:pPr>
      <w:r>
        <w:rPr>
          <w:color w:val="000000"/>
          <w:spacing w:val="0"/>
          <w:w w:val="100"/>
          <w:position w:val="0"/>
          <w:shd w:val="clear" w:color="auto" w:fill="auto"/>
          <w:lang w:val="ru-RU" w:eastAsia="ru-RU" w:bidi="ru-RU"/>
        </w:rPr>
        <w:t>12 января 2024 года</w:t>
        <w:tab/>
        <w:t>город Мурманск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(далее — Комиссия Мурманского УФАС России) в составе: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Мурманского УФАС России: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Калитиной Н.А. - заместителя руководителя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 Мурманского УФАС России: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Гребенюковой М.Е. - начальника отдела контроля торгов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Чоповской Н.И. - ведущего специалиста-эксперта отдела контроля рекламы и недобросовестной конкуренции Управления Федеральной антимонопольной службы по Мурманской области,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Мурманского муниципального казенного учреждения «Управление закупок» - и.о. директора Кизенковой Е.В., Смирновой И.А., действующей по доверенности,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Мурманского муниципального казенного учреждения «Управление капитального строительства» (ММКУ УКС) - Терехиной О.В., действующей по доверенности,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общества с ограниченной ответственностью «Сириус Проект» - директора Соловьева А.А.</w:t>
      </w:r>
    </w:p>
    <w:p>
      <w:pPr>
        <w:pStyle w:val="Style16"/>
        <w:keepNext w:val="0"/>
        <w:keepLines w:val="0"/>
        <w:widowControl w:val="0"/>
        <w:shd w:val="clear" w:color="auto" w:fill="auto"/>
        <w:bidi w:val="0"/>
        <w:spacing w:before="0" w:after="420" w:line="240" w:lineRule="auto"/>
        <w:ind w:left="0" w:right="0" w:firstLine="74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w:t>
      </w:r>
    </w:p>
    <w:p>
      <w:pPr>
        <w:pStyle w:val="Style20"/>
        <w:keepNext/>
        <w:keepLines/>
        <w:widowControl w:val="0"/>
        <w:shd w:val="clear" w:color="auto" w:fill="auto"/>
        <w:bidi w:val="0"/>
        <w:spacing w:before="0" w:after="0" w:line="240" w:lineRule="auto"/>
        <w:ind w:left="0" w:right="0" w:firstLine="0"/>
        <w:jc w:val="both"/>
        <w:rPr>
          <w:sz w:val="26"/>
          <w:szCs w:val="26"/>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7"/>
        </w:rPr>
        <w:t>многоквартирного дома № 47 по улице Радищева в городе Мурманске. (Извещение № 0849300004923000615) (далее — Запрос котировок, Закупка) 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19.12.2023 на официальном сайте Единой информационной системы в сфере закупок (далее - ЕИС) (</w:t>
      </w:r>
      <w:r>
        <w:fldChar w:fldCharType="begin"/>
      </w:r>
      <w:r>
        <w:rPr/>
        <w:instrText> HYPERLINK "https://zakupki.gov.ru/" </w:instrText>
      </w:r>
      <w:r>
        <w:fldChar w:fldCharType="separate"/>
      </w:r>
      <w:r>
        <w:rPr>
          <w:color w:val="000080"/>
          <w:spacing w:val="0"/>
          <w:w w:val="100"/>
          <w:position w:val="0"/>
          <w:u w:val="single"/>
          <w:shd w:val="clear" w:color="auto" w:fill="auto"/>
          <w:lang w:val="ru-RU" w:eastAsia="ru-RU" w:bidi="ru-RU"/>
        </w:rPr>
        <w:t>ИНрзУ/такиркЁдо^ш</w:t>
      </w:r>
      <w:r>
        <w:fldChar w:fldCharType="end"/>
      </w:r>
      <w:r>
        <w:rPr>
          <w:color w:val="000000"/>
          <w:spacing w:val="0"/>
          <w:w w:val="100"/>
          <w:position w:val="0"/>
          <w:shd w:val="clear" w:color="auto" w:fill="auto"/>
          <w:lang w:val="ru-RU" w:eastAsia="ru-RU" w:bidi="ru-RU"/>
        </w:rPr>
        <w:t>) Мурманским муниципальным казенным учреждением «Управление закупок». размещена информация о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47 по улице Радищева в городе Мурманске.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Наименование электронной площадки в информационно-телекоммуникационной сети «Интернет»: АО «Сбербанк-АСТ».</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Уполномоченное учреждение: Мурманское муниципальное казенное учреждение «Управление закупок» (далее Учреждение).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Мурманское муниципальное казенное учреждение «Управление капитального строительства» (ММКУ УКС).</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Предмет закупки: выполнение работ по техническому обследованию несущих и ограждающих конструкций многоквартирного дома № 47 по улице Радищева, в городе Мурманске.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Начальная максимальная цена контракта: 708 118,03рублей.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Окончание подачи заявок 26.12.2023.</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Подведение итогов: 27.12.2023.</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Протоколом подведения итогов определения поставщика (подрядчика, исполнителя) от 27.12.2023 победителем запроса котировок в электронной форме признан участник закупки с идентификационным номером заявки 242 - индивидуальный предприниматель Дробот Николай Юрьевич.</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Не согласившись с результатами подведения итогов, участник закупки - общество с ограниченной ответственностью «Сириус Проект» (далее - Заявитель, Общество) 28.12.2023 обратилось в Мурманское УФАС России с жалобой на действия Заказчика и уполномоченного учреждения. Общество полагает, что индивидуальный предприниматель в силу положений градостроительного законодательства не вправе выполнять работы по обследованию многоквартирных жилых домов, в связи с чем заявка ИП Дробот должна быть отклонена.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Уполномоченное учреждение, Заказчик с доводами жалобы не согласились, представили свои устные и письменные возражения.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Жалоба рассмотрена дистанционно посредством сервиса веб</w:t>
        <w:softHyphen/>
        <w:t>видеоконференцсвязи 12.01.2024.</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Мурманского УФАС России, изучив доводы Заявителя, выслушав возражения Учреждения, исследовав представленные сторонами документы и письменные возражения, приходит к следующим выводам.</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Рассматриваемые торги проведены в порядке, предусмотренном Федеральным законом от 05.04.2013 № 44-ФЗ «О контрактной системе в сфере закупок товаров, работ, </w:t>
      </w:r>
      <w:r>
        <w:rPr>
          <w:color w:val="000000"/>
          <w:spacing w:val="0"/>
          <w:w w:val="100"/>
          <w:position w:val="0"/>
          <w:shd w:val="clear" w:color="auto" w:fill="auto"/>
          <w:lang w:val="ru-RU" w:eastAsia="ru-RU" w:bidi="ru-RU"/>
        </w:rPr>
        <w:t>услуг для обеспечения государственных и муниципальных нужд».</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Подпунктом 2 пункта 1.1 части 1 раздела 1 электронного документа, размещенного в составе извещения (реестровый номер 0849300004923000615), «Требования к содержанию, составу заявки на участие в закупке и инструкции ее заполнению» установлено:</w:t>
      </w:r>
    </w:p>
    <w:p>
      <w:pPr>
        <w:pStyle w:val="Style16"/>
        <w:keepNext w:val="0"/>
        <w:keepLines w:val="0"/>
        <w:widowControl w:val="0"/>
        <w:numPr>
          <w:ilvl w:val="0"/>
          <w:numId w:val="1"/>
        </w:numPr>
        <w:shd w:val="clear" w:color="auto" w:fill="auto"/>
        <w:tabs>
          <w:tab w:pos="1013" w:val="left"/>
        </w:tabs>
        <w:bidi w:val="0"/>
        <w:spacing w:before="0" w:after="0"/>
        <w:ind w:left="0" w:right="0" w:firstLine="720"/>
        <w:jc w:val="both"/>
      </w:pPr>
      <w:r>
        <w:rPr>
          <w:color w:val="000000"/>
          <w:spacing w:val="0"/>
          <w:w w:val="100"/>
          <w:position w:val="0"/>
          <w:shd w:val="clear" w:color="auto" w:fill="auto"/>
          <w:lang w:val="ru-RU" w:eastAsia="ru-RU" w:bidi="ru-RU"/>
        </w:rPr>
        <w:t xml:space="preserve">участник закупки должен быть </w:t>
      </w:r>
      <w:r>
        <w:rPr>
          <w:i/>
          <w:iCs/>
          <w:color w:val="000000"/>
          <w:spacing w:val="0"/>
          <w:w w:val="100"/>
          <w:position w:val="0"/>
          <w:shd w:val="clear" w:color="auto" w:fill="auto"/>
          <w:lang w:val="ru-RU" w:eastAsia="ru-RU" w:bidi="ru-RU"/>
        </w:rPr>
        <w:t>индивидуальным предпринимателем или юридическим лицом - членом саморегулируемой организации</w:t>
      </w:r>
      <w:r>
        <w:rPr>
          <w:color w:val="000000"/>
          <w:spacing w:val="0"/>
          <w:w w:val="100"/>
          <w:position w:val="0"/>
          <w:shd w:val="clear" w:color="auto" w:fill="auto"/>
          <w:lang w:val="ru-RU" w:eastAsia="ru-RU" w:bidi="ru-RU"/>
        </w:rPr>
        <w:t>, основанной на членстве лиц, выполняющих инженерные изыскания, и имеющей (сформировавшей) компенсационные фонды возмещения вреда и обеспечения договорных обязательств (далее - СРО).</w:t>
      </w:r>
    </w:p>
    <w:p>
      <w:pPr>
        <w:pStyle w:val="Style16"/>
        <w:keepNext w:val="0"/>
        <w:keepLines w:val="0"/>
        <w:widowControl w:val="0"/>
        <w:numPr>
          <w:ilvl w:val="0"/>
          <w:numId w:val="1"/>
        </w:numPr>
        <w:shd w:val="clear" w:color="auto" w:fill="auto"/>
        <w:tabs>
          <w:tab w:pos="1013" w:val="left"/>
        </w:tabs>
        <w:bidi w:val="0"/>
        <w:spacing w:before="0" w:after="0"/>
        <w:ind w:left="0" w:right="0" w:firstLine="720"/>
        <w:jc w:val="both"/>
      </w:pPr>
      <w:r>
        <w:rPr>
          <w:color w:val="000000"/>
          <w:spacing w:val="0"/>
          <w:w w:val="100"/>
          <w:position w:val="0"/>
          <w:shd w:val="clear" w:color="auto" w:fill="auto"/>
          <w:lang w:val="ru-RU" w:eastAsia="ru-RU" w:bidi="ru-RU"/>
        </w:rPr>
        <w:t xml:space="preserve">участник закупки должен </w:t>
      </w:r>
      <w:r>
        <w:rPr>
          <w:i/>
          <w:iCs/>
          <w:color w:val="000000"/>
          <w:spacing w:val="0"/>
          <w:w w:val="100"/>
          <w:position w:val="0"/>
          <w:shd w:val="clear" w:color="auto" w:fill="auto"/>
          <w:lang w:val="ru-RU" w:eastAsia="ru-RU" w:bidi="ru-RU"/>
        </w:rPr>
        <w:t>иметь право выполнять работы по договору подряда на выполнение инженерных изысканий</w:t>
      </w:r>
      <w:r>
        <w:rPr>
          <w:color w:val="000000"/>
          <w:spacing w:val="0"/>
          <w:w w:val="100"/>
          <w:position w:val="0"/>
          <w:shd w:val="clear" w:color="auto" w:fill="auto"/>
          <w:lang w:val="ru-RU" w:eastAsia="ru-RU" w:bidi="ru-RU"/>
        </w:rPr>
        <w:t xml:space="preserve"> в отношении объекта капитального строительства (кроме особо опасных, технически сложных и уникальных объектов, объектов использования атомной энергии).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Соответствующая информация об участнике закупки должна быть включена в единый реестр сведений о членах саморегулируемых организаций и их обязательствах, предусмотренный статьей 55.17 Градостроительного кодекса Российской Федерации (далее ГрК РФ).</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Требование установлено на основании статей 47, 55.8, 55.17 ГрК РФ и не распространяется на участников закупки, указанных в части 2.1 статьи 47 ГрК РФ. В соответствии с подпунктом «н» пункта 1 части 1 статьи 43, частью 1 статьи 50 Закона о контрактной системе в сфере закупок в качестве документов, подтверждающих соответствие участника закупки требованиям, установленным в соответствии с пунктом 1 части 1 статьи 31 Закона о контрактной системе в сфере закупок в извещении об осуществлении закупки, сформированном с использованием ЕИС, в том числе в настоящем подпункте, рассматривается документ, предусмотренный подпунктом «ж» пункта 2.1 части 2 раздела I настоящего электронного документа и направленный уполномоченному учреждению оператором электронной площадки путем информационного взаимодействия с ЕИС.</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Предоставление какого-либо документа участником закупки в составе заявки на участие в закупке не требуется, так как это не предусмотрено действующим законодательством Российской Федерации.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по осуществлению закупок ММКУ «Управление закупок» будет проверять соответствие участника закупки установленному требованию по данным единого реестра сведений о членах саморегулируемых организаций и их обязательствах, предусмотренного статьей 55.17 ГрК РФ.</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Таким образом, Извещением о проведении запроса котировок установлено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w:t>
      </w:r>
      <w:r>
        <w:rPr>
          <w:color w:val="000000"/>
          <w:spacing w:val="0"/>
          <w:w w:val="100"/>
          <w:position w:val="0"/>
          <w:shd w:val="clear" w:color="auto" w:fill="auto"/>
          <w:lang w:val="ru-RU" w:eastAsia="ru-RU" w:bidi="ru-RU"/>
        </w:rPr>
        <w:t>выполнение работ, являющихся объектом закупки, без ограничения участия в закупке лиц, обладающих статусом «индивидуальный предприниматель».</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подпунктом «а» пункта 1 части 3 статьи 50 Закона о контрактной системе в сфере закупок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в сфере закупок,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в сфере закупок.</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9 статьи 24, подпунктом «б» пункта 1 части 3 статьи 50 Закона о контрактной системе, Протоколом подведения итогов определения поставщика (подрядчика, исполнителя) от 27.12.2023 победителем запроса котировок признан индивидуальный предприниматель Дробот Н.Ю., который является членом саморегулируемой организации, и заявка которого в полной мере соответствует требованиям Извещения.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действия Комиссия по осуществлению закупок ММКУ «Управление закупок», признавшей победителем закупки участника закупки с идентификационным номером заявки 242 индивидуального предпринимателя Дробот Н.Ю. не противоречат требованиям законодательства о контрактной системе.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Кроме того, ООО «Сириус Проект» обжалует положения Извещения о проведении закупки, в части возможности участия в закупке индивидуальных предпринимателей.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 Заявитель, со ссылкой на положения абзаца 2 пункта 4 статьи 55.26-1 ГрК РФ,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а так же пункта 2.1 Методических рекомендации по оценке технических заключений специализированных организаций по обследованию технического состояния многоквартирных домов, утвержденных Госкорпорацией «Фонд содействия реформированию ЖКХ» 30.12.2020, указывает, что работы по обследованию жилых многоквартирных домов для получение заключений, необходимых для принятия решений о признании жилых помещений непригодными для проживания и подлежащим сносу или реконструкции могут выполняться только юридическими лицами. По мнению ООО «Сириус Проект», лица, обладающие статусом «индивидуальный предприниматель» в силу положений градостроительного законодательства указанные работы осуществлять не вправе.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Данный довод жалобы рассмотрен Комиссией Мурманского УФАС России в рамках внеплановой проверки в соответствии с пунктом 1 части 15 статьи 99 Закона о контрактной системе.</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Постановлением Администрации города Мурманска от 16.02.2022 № 369 многоквартирный дом № 47, расположенный на улице Радищева, в городе Мурманске признан аварийным и подлежащим сносу.</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Пунктом 7 электронного документа «Описание объекта закупки», размещенного в </w:t>
      </w:r>
      <w:r>
        <w:rPr>
          <w:color w:val="000000"/>
          <w:spacing w:val="0"/>
          <w:w w:val="100"/>
          <w:position w:val="0"/>
          <w:shd w:val="clear" w:color="auto" w:fill="auto"/>
          <w:lang w:val="ru-RU" w:eastAsia="ru-RU" w:bidi="ru-RU"/>
        </w:rPr>
        <w:t>составе извещения, определены цели и задачи инженерных изысканий: определение действительного технического состояния многоквартирного жилого дома и его элементов, получение количественной оценки фактических показателей качества конструкций с учетом изменений, происходящих во времени, для установления состава и объема работ по капитальному ремонту, реконструкции или сносу здания.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10 «Описание объекта закупки», определено задание на отдельные виды работ в составе инженерных изысканий: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Обмерные работы несущих и ограждающих конструкций здания с составлением поэтажных планов, плана чердачного помещения, поперечных и продольных разрезов, фасадов выполнить в соответствии с требованиями СП 13-102</w:t>
        <w:softHyphen/>
        <w:t>2003 «Правила обследования несущих строительных конструкций зданий и сооружений» (далее СП 13-102-2003);</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Обследование несущих и ограждающих конструкций здания выполнить в соответствии с требованиями ГОСТ 31937-2011 «Межгосударственный стандарт. Здания и сооружения. Правила обследования и мониторинга технического состояния» (далее - ГОСТ 31937-2011).</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Подпунктом 22 пункта 1 Технического задания приложения к проекту контракта, размещенного в составе извещения, установлено: материалы и результаты инженерных изысканий оформляются в виде отчетной документации (технического отчета, заключения) о выполнении инженерных изысканий.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1.1. СП 13-102-2003 определено предназначение правил для применения при обследовании строительных конструкций зданий и сооружений жилищного, общественного, административно-бытового и производственного назначения с целью определения их технического состояния, а также их использование при решении вопросов о пригодности жилых домов для проживания в них. Правила регламентируют процедуру проведения обследования строительных конструкций, определяют принципиальную схему и состав работ, позволяющих объективно оценить техническое состояние, фактическую несущую способность конструкций и, в случае необходимости, принять обоснованные технические решения по ремонтно-восстановительным мероприятиям или способам усилений.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3.4 ГОСТа 31937-2011 обследование технического состояния здания (сооружения): комплекс мероприятий по определению и оценке фактических значений контролируемых параметров, характеризующих работоспособность объекта обследования и определяющих возможность его дальнейшей эксплуатации, реконструкции или необходимость восстановления, усиления, ремонта, и включающий в себя обследование грунтов основания и строительных конструкций на предмет выявления изменения свойств грунтов, деформационных повреждений, дефектов несущих конструкций и определения их фактической несущей способности.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Учитывая изложенное, Комиссия Мурманского УФАС России, приходит к выводу, что предметом закупки не является получение заключения специализированной организаций, необходимого для принятия решения о признании жилых помещений соответствующими (не соответствующими) требованиям, установленным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w:t>
      </w:r>
      <w:r>
        <w:rPr>
          <w:color w:val="000000"/>
          <w:spacing w:val="0"/>
          <w:w w:val="100"/>
          <w:position w:val="0"/>
          <w:shd w:val="clear" w:color="auto" w:fill="auto"/>
          <w:lang w:val="ru-RU" w:eastAsia="ru-RU" w:bidi="ru-RU"/>
        </w:rPr>
        <w:t>реконструкции, садового дома жилым домом и жилого дома садовым домом, утвержденного постановлением Правительства Российской Федерации от 28.01.2006 № 47.</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перечнем видов инженерных изысканий, утвержденным Постановлением Правительства Российской Федерации от 19 января 2006 г. № 20 «Об инженерных изысканиях для подготовки проектной документации, строительства, реконструкции объектов капитального строительства», обследования состояния грунтов оснований зданий и сооружений, их строительных конструкций относится к специальным видам инженерных изысканий.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соответствии с частью 2 статьи 47 Гр РФ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w:t>
      </w:r>
      <w:r>
        <w:rPr>
          <w:i/>
          <w:iCs/>
          <w:color w:val="000000"/>
          <w:spacing w:val="0"/>
          <w:w w:val="100"/>
          <w:position w:val="0"/>
          <w:shd w:val="clear" w:color="auto" w:fill="auto"/>
          <w:lang w:val="ru-RU" w:eastAsia="ru-RU" w:bidi="ru-RU"/>
        </w:rPr>
        <w:t>индивидуальными предпринимателями</w:t>
      </w:r>
      <w:r>
        <w:rPr>
          <w:color w:val="000000"/>
          <w:spacing w:val="0"/>
          <w:w w:val="100"/>
          <w:position w:val="0"/>
          <w:shd w:val="clear" w:color="auto" w:fill="auto"/>
          <w:lang w:val="ru-RU" w:eastAsia="ru-RU" w:bidi="ru-RU"/>
        </w:rPr>
        <w:t xml:space="preserve"> или юридическими лицами, </w:t>
      </w:r>
      <w:r>
        <w:rPr>
          <w:i/>
          <w:iCs/>
          <w:color w:val="000000"/>
          <w:spacing w:val="0"/>
          <w:w w:val="100"/>
          <w:position w:val="0"/>
          <w:shd w:val="clear" w:color="auto" w:fill="auto"/>
          <w:lang w:val="ru-RU" w:eastAsia="ru-RU" w:bidi="ru-RU"/>
        </w:rPr>
        <w:t>которые являются членами саморегулируемых организаций в области инженерных изысканий</w:t>
      </w:r>
      <w:r>
        <w:rPr>
          <w:color w:val="000000"/>
          <w:spacing w:val="0"/>
          <w:w w:val="100"/>
          <w:position w:val="0"/>
          <w:shd w:val="clear" w:color="auto" w:fill="auto"/>
          <w:lang w:val="ru-RU" w:eastAsia="ru-RU" w:bidi="ru-RU"/>
        </w:rPr>
        <w:t>,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вышеизложенного Комиссия Мурманского УФАС России, полагает, нормы законодательства, на которые ссылается Заявитель в своей жалобе, не применимы к объекту закупки.</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Более того, согласно части 3 статьи 9 Федерального закона от 30.12.2021 № 447- ФЗ «О внесении изменений в Градостроительный кодекс Российской Федерации и отдельные законодательные акты Российской Федерации», в связи с отсутствием в настоящее время утвержденного порядка признания объектов капитального строительства аварийными и подлежащими сносу или реконструкции, положения статьи 55.26-1 ГрК РФ не применяются.</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изложенного, Комиссия Мурманского УФАС приходит к выводу о необоснованности доводов жалобы ООО «Сириус Проект».</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Мурманского УФАС России, руководствуясь статьями 99, 106 Закона о контрактной системе,</w:t>
      </w:r>
    </w:p>
    <w:p>
      <w:pPr>
        <w:pStyle w:val="Style16"/>
        <w:keepNext w:val="0"/>
        <w:keepLines w:val="0"/>
        <w:widowControl w:val="0"/>
        <w:shd w:val="clear" w:color="auto" w:fill="auto"/>
        <w:bidi w:val="0"/>
        <w:spacing w:before="0" w:after="280"/>
        <w:ind w:left="0" w:right="0" w:firstLine="0"/>
        <w:jc w:val="center"/>
      </w:pPr>
      <w:r>
        <w:rPr>
          <w:color w:val="000000"/>
          <w:spacing w:val="0"/>
          <w:w w:val="100"/>
          <w:position w:val="0"/>
          <w:shd w:val="clear" w:color="auto" w:fill="auto"/>
          <w:lang w:val="ru-RU" w:eastAsia="ru-RU" w:bidi="ru-RU"/>
        </w:rPr>
        <w:t>РЕШИЛА:</w:t>
      </w:r>
    </w:p>
    <w:p>
      <w:pPr>
        <w:pStyle w:val="Style16"/>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«Сириус Проект» на действия Мурманского муниципального казенного учреждения «Управление закупок» и Мурманского муниципального казенного учреждения «Управление капитального строительства» (ММКУ УКС) при проведении запроса котировок в электронной форме на выполнение работ по техническому обследованию несущих и ограждающих конструкций многоквартирного дома № 47 по улице Радищева в городе</w:t>
      </w:r>
      <w:r>
        <w:br w:type="page"/>
      </w:r>
    </w:p>
    <w:p>
      <w:pPr>
        <w:pStyle w:val="Style16"/>
        <w:keepNext w:val="0"/>
        <w:keepLines w:val="0"/>
        <w:widowControl w:val="0"/>
        <w:shd w:val="clear" w:color="auto" w:fill="auto"/>
        <w:bidi w:val="0"/>
        <w:spacing w:before="0" w:after="280" w:line="254" w:lineRule="auto"/>
        <w:ind w:left="0" w:right="0" w:firstLine="0"/>
        <w:jc w:val="left"/>
      </w:pPr>
      <w:r>
        <w:rPr>
          <w:color w:val="000000"/>
          <w:spacing w:val="0"/>
          <w:w w:val="100"/>
          <w:position w:val="0"/>
          <w:shd w:val="clear" w:color="auto" w:fill="auto"/>
          <w:lang w:val="ru-RU" w:eastAsia="ru-RU" w:bidi="ru-RU"/>
        </w:rPr>
        <w:t>Мурманске. (Извещение № 0849300004923000615) необоснованной.</w:t>
      </w:r>
    </w:p>
    <w:p>
      <w:pPr>
        <w:pStyle w:val="Style16"/>
        <w:keepNext w:val="0"/>
        <w:keepLines w:val="0"/>
        <w:widowControl w:val="0"/>
        <w:shd w:val="clear" w:color="auto" w:fill="auto"/>
        <w:bidi w:val="0"/>
        <w:spacing w:before="0" w:after="0" w:line="254" w:lineRule="auto"/>
        <w:ind w:left="0" w:right="0" w:firstLine="720"/>
        <w:jc w:val="left"/>
      </w:pPr>
      <w:r>
        <w:rPr>
          <w:color w:val="000000"/>
          <w:spacing w:val="0"/>
          <w:w w:val="100"/>
          <w:position w:val="0"/>
          <w:shd w:val="clear" w:color="auto" w:fill="auto"/>
          <w:lang w:val="ru-RU" w:eastAsia="ru-RU" w:bidi="ru-RU"/>
        </w:rPr>
        <w:t>Решение может быть обжаловано в судебном порядке в течение трёх месяцев со дня его принятия.</w:t>
      </w:r>
    </w:p>
    <w:p>
      <w:pPr>
        <w:widowControl w:val="0"/>
        <w:spacing w:line="1" w:lineRule="exact"/>
        <w:sectPr>
          <w:footnotePr>
            <w:pos w:val="pageBottom"/>
            <w:numFmt w:val="decimal"/>
            <w:numRestart w:val="continuous"/>
          </w:footnotePr>
          <w:type w:val="continuous"/>
          <w:pgSz w:w="11900" w:h="16840"/>
          <w:pgMar w:top="111" w:right="659" w:bottom="1415" w:left="979" w:header="0" w:footer="3" w:gutter="0"/>
          <w:cols w:space="720"/>
          <w:noEndnote/>
          <w:rtlGutter w:val="0"/>
          <w:docGrid w:linePitch="360"/>
        </w:sectPr>
      </w:pPr>
      <w:r>
        <mc:AlternateContent>
          <mc:Choice Requires="wps">
            <w:drawing>
              <wp:anchor distT="508000" distB="215900" distL="0" distR="0" simplePos="0" relativeHeight="125829378" behindDoc="0" locked="0" layoutInCell="1" allowOverlap="1">
                <wp:simplePos x="0" y="0"/>
                <wp:positionH relativeFrom="page">
                  <wp:posOffset>753745</wp:posOffset>
                </wp:positionH>
                <wp:positionV relativeFrom="paragraph">
                  <wp:posOffset>508000</wp:posOffset>
                </wp:positionV>
                <wp:extent cx="1700530" cy="234950"/>
                <wp:wrapTopAndBottom/>
                <wp:docPr id="5" name="Shape 5"/>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9.350000000000001pt;margin-top:40.pt;width:133.90000000000001pt;height:18.5pt;z-index:-125829375;mso-wrap-distance-left:0;mso-wrap-distance-top:40.pt;mso-wrap-distance-right:0;mso-wrap-distance-bottom:17.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96265" distB="0" distL="0" distR="1804670" simplePos="0" relativeHeight="125829380" behindDoc="0" locked="0" layoutInCell="1" allowOverlap="1">
            <wp:simplePos x="0" y="0"/>
            <wp:positionH relativeFrom="page">
              <wp:posOffset>2686050</wp:posOffset>
            </wp:positionH>
            <wp:positionV relativeFrom="paragraph">
              <wp:posOffset>596265</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3079115</wp:posOffset>
                </wp:positionH>
                <wp:positionV relativeFrom="paragraph">
                  <wp:posOffset>669290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5" type="#_x0000_t202" style="position:absolute;margin-left:242.45000000000002pt;margin-top:52.700000000000003pt;width:135.59999999999999pt;height:20.15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08000" distB="215900" distL="0" distR="0" simplePos="0" relativeHeight="125829381" behindDoc="0" locked="0" layoutInCell="1" allowOverlap="1">
                <wp:simplePos x="0" y="0"/>
                <wp:positionH relativeFrom="page">
                  <wp:posOffset>5956935</wp:posOffset>
                </wp:positionH>
                <wp:positionV relativeFrom="paragraph">
                  <wp:posOffset>508000</wp:posOffset>
                </wp:positionV>
                <wp:extent cx="1069975" cy="234950"/>
                <wp:wrapTopAndBottom/>
                <wp:docPr id="11" name="Shape 11"/>
                <a:graphic xmlns:a="http://schemas.openxmlformats.org/drawingml/2006/main">
                  <a:graphicData uri="http://schemas.microsoft.com/office/word/2010/wordprocessingShape">
                    <wps:wsp>
                      <wps:cNvSpPr txBox="1"/>
                      <wps:spPr>
                        <a:xfrm>
                          <a:ext cx="106997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Калитина</w:t>
                            </w:r>
                          </w:p>
                        </w:txbxContent>
                      </wps:txbx>
                      <wps:bodyPr wrap="none" lIns="0" tIns="0" rIns="0" bIns="0">
                        <a:noAutoFit/>
                      </wps:bodyPr>
                    </wps:wsp>
                  </a:graphicData>
                </a:graphic>
              </wp:anchor>
            </w:drawing>
          </mc:Choice>
          <mc:Fallback>
            <w:pict>
              <v:shape id="_x0000_s1037" type="#_x0000_t202" style="position:absolute;margin-left:469.05000000000001pt;margin-top:40.pt;width:84.25pt;height:18.5pt;z-index:-125829372;mso-wrap-distance-left:0;mso-wrap-distance-top:40.pt;mso-wrap-distance-right:0;mso-wrap-distance-bottom:17.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Калитина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E8E8E8"/>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46464"/>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Калитина Наталия Александровна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1132В001Е39Э444Е3409А0816879Е090</w:t>
      </w:r>
    </w:p>
    <w:p>
      <w:pPr>
        <w:pStyle w:val="Style27"/>
        <w:keepNext w:val="0"/>
        <w:keepLines w:val="0"/>
        <w:widowControl w:val="0"/>
        <w:shd w:val="clear" w:color="auto" w:fill="auto"/>
        <w:bidi w:val="0"/>
        <w:spacing w:before="0" w:after="24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22.05.2023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14.08.2024</w:t>
      </w:r>
    </w:p>
    <w:p>
      <w:pPr>
        <w:pStyle w:val="Style16"/>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6"/>
        <w:keepNext w:val="0"/>
        <w:keepLines w:val="0"/>
        <w:widowControl w:val="0"/>
        <w:shd w:val="clear" w:color="auto" w:fill="auto"/>
        <w:bidi w:val="0"/>
        <w:spacing w:before="0" w:after="415" w:line="240" w:lineRule="auto"/>
        <w:ind w:left="1260" w:right="0" w:firstLine="0"/>
        <w:jc w:val="left"/>
      </w:pPr>
      <w:r>
        <w:drawing>
          <wp:anchor distT="0" distB="0" distL="114300" distR="1918970" simplePos="0" relativeHeight="125829383" behindDoc="0" locked="0" layoutInCell="1" allowOverlap="1">
            <wp:simplePos x="0" y="0"/>
            <wp:positionH relativeFrom="page">
              <wp:posOffset>2686685</wp:posOffset>
            </wp:positionH>
            <wp:positionV relativeFrom="paragraph">
              <wp:posOffset>76200</wp:posOffset>
            </wp:positionV>
            <wp:extent cx="311150" cy="35941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3079750</wp:posOffset>
                </wp:positionH>
                <wp:positionV relativeFrom="paragraph">
                  <wp:posOffset>146050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1" type="#_x0000_t202" style="position:absolute;margin-left:242.5pt;margin-top:11.5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М.Е. Гребенюкова</w: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46464"/>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Гребенюкова Маргарита Евгеньевна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00070С5В0270А32676СА50332С73Е726С</w:t>
      </w:r>
      <w:r>
        <w:rPr>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300" w:line="240" w:lineRule="auto"/>
        <w:ind w:right="0" w:firstLine="0"/>
        <w:jc w:val="left"/>
      </w:pPr>
      <w:r>
        <w:rPr>
          <w:color w:val="64646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05.12.2022 </w:t>
      </w:r>
      <w:r>
        <w:rPr>
          <w:color w:val="8A8A8A"/>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28.02.2024</w:t>
      </w:r>
    </w:p>
    <w:p>
      <w:pPr>
        <w:pStyle w:val="Style16"/>
        <w:keepNext w:val="0"/>
        <w:keepLines w:val="0"/>
        <w:widowControl w:val="0"/>
        <w:shd w:val="clear" w:color="auto" w:fill="auto"/>
        <w:bidi w:val="0"/>
        <w:spacing w:before="0" w:after="410" w:line="240" w:lineRule="auto"/>
        <w:ind w:left="0" w:right="0" w:firstLine="0"/>
        <w:jc w:val="right"/>
      </w:pPr>
      <w:r>
        <w:drawing>
          <wp:anchor distT="0" distB="0" distL="114300" distR="1918970" simplePos="0" relativeHeight="125829384" behindDoc="0" locked="0" layoutInCell="1" allowOverlap="1">
            <wp:simplePos x="0" y="0"/>
            <wp:positionH relativeFrom="page">
              <wp:posOffset>2686685</wp:posOffset>
            </wp:positionH>
            <wp:positionV relativeFrom="paragraph">
              <wp:posOffset>76200</wp:posOffset>
            </wp:positionV>
            <wp:extent cx="311150" cy="36576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4"/>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3079750</wp:posOffset>
                </wp:positionH>
                <wp:positionV relativeFrom="paragraph">
                  <wp:posOffset>146050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5pt;margin-top:11.5pt;width:135.59999999999999pt;height:20.15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Н.И. Чоповская</w:t>
      </w:r>
    </w:p>
    <w:p>
      <w:pPr>
        <w:pStyle w:val="Style2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646464"/>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Поповская Наталья Ивановна</w:t>
      </w:r>
    </w:p>
    <w:p>
      <w:pPr>
        <w:pStyle w:val="Style27"/>
        <w:keepNext w:val="0"/>
        <w:keepLines w:val="0"/>
        <w:widowControl w:val="0"/>
        <w:shd w:val="clear" w:color="auto" w:fill="auto"/>
        <w:bidi w:val="0"/>
        <w:spacing w:before="0" w:after="0" w:line="240" w:lineRule="auto"/>
        <w:ind w:right="0" w:firstLine="0"/>
        <w:jc w:val="left"/>
      </w:pPr>
      <w:r>
        <w:rPr>
          <w:color w:val="37373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73737"/>
          <w:spacing w:val="0"/>
          <w:w w:val="100"/>
          <w:position w:val="0"/>
          <w:shd w:val="clear" w:color="auto" w:fill="auto"/>
          <w:lang w:val="ru-RU" w:eastAsia="ru-RU" w:bidi="ru-RU"/>
        </w:rPr>
        <w:t>00О6А9А94649ВЕВВ52ВА969С91</w:t>
      </w:r>
      <w:r>
        <w:rPr>
          <w:color w:val="000000"/>
          <w:spacing w:val="0"/>
          <w:w w:val="100"/>
          <w:position w:val="0"/>
          <w:shd w:val="clear" w:color="auto" w:fill="auto"/>
          <w:lang w:val="ru-RU" w:eastAsia="ru-RU" w:bidi="ru-RU"/>
        </w:rPr>
        <w:t>98921551</w:t>
      </w:r>
    </w:p>
    <w:p>
      <w:pPr>
        <w:pStyle w:val="Style27"/>
        <w:keepNext w:val="0"/>
        <w:keepLines w:val="0"/>
        <w:widowControl w:val="0"/>
        <w:shd w:val="clear" w:color="auto" w:fill="auto"/>
        <w:bidi w:val="0"/>
        <w:spacing w:before="0" w:after="5880" w:line="240" w:lineRule="auto"/>
        <w:ind w:right="0" w:firstLine="0"/>
        <w:jc w:val="left"/>
      </w:pPr>
      <w:r>
        <w:rPr>
          <w:color w:val="646464"/>
          <w:spacing w:val="0"/>
          <w:w w:val="100"/>
          <w:position w:val="0"/>
          <w:shd w:val="clear" w:color="auto" w:fill="auto"/>
          <w:lang w:val="ru-RU" w:eastAsia="ru-RU" w:bidi="ru-RU"/>
        </w:rPr>
        <w:t xml:space="preserve">Действителен </w:t>
      </w:r>
      <w:r>
        <w:rPr>
          <w:color w:val="373737"/>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19.09.2023 по 12.12.2024</w:t>
      </w:r>
    </w:p>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Исп.Конох А.А.</w:t>
      </w:r>
    </w:p>
    <w:p>
      <w:pPr>
        <w:pStyle w:val="Style34"/>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тел.8(8152) 68-50-55 вн.051-112</w:t>
      </w:r>
    </w:p>
    <w:sectPr>
      <w:footnotePr>
        <w:pos w:val="pageBottom"/>
        <w:numFmt w:val="decimal"/>
        <w:numRestart w:val="continuous"/>
      </w:footnotePr>
      <w:type w:val="continuous"/>
      <w:pgSz w:w="11900" w:h="16840"/>
      <w:pgMar w:top="1110" w:right="834" w:bottom="1345"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9859010</wp:posOffset>
              </wp:positionV>
              <wp:extent cx="563880" cy="100330"/>
              <wp:wrapNone/>
              <wp:docPr id="3" name="Shape 3"/>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30000000000007pt;width:44.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Подпись к картинке_"/>
    <w:basedOn w:val="DefaultParagraphFont"/>
    <w:link w:val="Style13"/>
    <w:rPr>
      <w:rFonts w:ascii="Georgia" w:eastAsia="Georgia" w:hAnsi="Georgia" w:cs="Georgia"/>
      <w:b w:val="0"/>
      <w:bCs w:val="0"/>
      <w:i w:val="0"/>
      <w:iCs w:val="0"/>
      <w:smallCaps w:val="0"/>
      <w:strike w:val="0"/>
      <w:color w:val="232323"/>
      <w:sz w:val="11"/>
      <w:szCs w:val="11"/>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5">
    <w:name w:val="Основной текст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4E4E4E"/>
      <w:sz w:val="12"/>
      <w:szCs w:val="12"/>
      <w:u w:val="none"/>
    </w:rPr>
  </w:style>
  <w:style w:type="character" w:customStyle="1" w:styleId="CharStyle35">
    <w:name w:val="Основной текст (6)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90" w:line="29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5)"/>
    <w:basedOn w:val="Normal"/>
    <w:link w:val="CharStyle9"/>
    <w:pPr>
      <w:widowControl w:val="0"/>
      <w:shd w:val="clear" w:color="auto" w:fill="auto"/>
      <w:spacing w:after="38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Подпись к картинке"/>
    <w:basedOn w:val="Normal"/>
    <w:link w:val="CharStyle14"/>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16">
    <w:name w:val="Основной текст"/>
    <w:basedOn w:val="Normal"/>
    <w:link w:val="CharStyle17"/>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Заголовок №1"/>
    <w:basedOn w:val="Normal"/>
    <w:link w:val="CharStyle21"/>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 w:type="paragraph" w:customStyle="1" w:styleId="Style24">
    <w:name w:val="Основной текст (4)"/>
    <w:basedOn w:val="Normal"/>
    <w:link w:val="CharStyle25"/>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080"/>
    </w:pPr>
    <w:rPr>
      <w:rFonts w:ascii="Arial" w:eastAsia="Arial" w:hAnsi="Arial" w:cs="Arial"/>
      <w:b w:val="0"/>
      <w:bCs w:val="0"/>
      <w:i w:val="0"/>
      <w:iCs w:val="0"/>
      <w:smallCaps w:val="0"/>
      <w:strike w:val="0"/>
      <w:color w:val="4E4E4E"/>
      <w:sz w:val="12"/>
      <w:szCs w:val="12"/>
      <w:u w:val="none"/>
    </w:rPr>
  </w:style>
  <w:style w:type="paragraph" w:customStyle="1" w:styleId="Style34">
    <w:name w:val="Основной текст (6)"/>
    <w:basedOn w:val="Normal"/>
    <w:link w:val="CharStyle35"/>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image" Target="media/image5.jpeg"/><Relationship Id="rId15" Type="http://schemas.openxmlformats.org/officeDocument/2006/relationships/image" Target="media/image5.jpeg" TargetMode="External"/></Relationships>
</file>