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Мурманской области</w:t>
      </w:r>
    </w:p>
    <w:p>
      <w:pPr>
        <w:pStyle w:val="Style5"/>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ул. Академика Книповича, 9а, г. Мурманск, 183038</w:t>
        <w:br/>
        <w:t>тел. (8152) 68-50-43, факс (8152) 68-50-43</w:t>
      </w:r>
    </w:p>
    <w:p>
      <w:pPr>
        <w:pStyle w:val="Style5"/>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е-тай: ю51 @Гав.§оу.ги</w:t>
      </w:r>
    </w:p>
    <w:p>
      <w:pPr>
        <w:pStyle w:val="Style10"/>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7.01.2024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НК/184/24</w:t>
      </w:r>
      <w:bookmarkEnd w:id="0"/>
    </w:p>
    <w:p>
      <w:pPr>
        <w:pStyle w:val="Style13"/>
        <w:keepNext w:val="0"/>
        <w:keepLines w:val="0"/>
        <w:widowControl w:val="0"/>
        <w:shd w:val="clear" w:color="auto" w:fill="auto"/>
        <w:bidi w:val="0"/>
        <w:spacing w:before="0" w:after="0" w:line="276" w:lineRule="auto"/>
        <w:ind w:left="0" w:right="0" w:firstLine="0"/>
        <w:jc w:val="left"/>
        <w:rPr>
          <w:sz w:val="18"/>
          <w:szCs w:val="18"/>
        </w:rPr>
      </w:pPr>
      <w:r>
        <w:rPr>
          <w:color w:val="4460A2"/>
          <w:spacing w:val="0"/>
          <w:w w:val="100"/>
          <w:position w:val="0"/>
          <w:sz w:val="18"/>
          <w:szCs w:val="18"/>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Мурманское муниципальное казенное учреждение «Управление закупок» 44-Г2@сйутигтап§к.ги</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Мурманское муниципальное казенное учреждение «Управление капитального строительства» ик§тигтап@уап4ех.ги</w:t>
      </w:r>
    </w:p>
    <w:p>
      <w:pPr>
        <w:pStyle w:val="Style16"/>
        <w:keepNext w:val="0"/>
        <w:keepLines w:val="0"/>
        <w:widowControl w:val="0"/>
        <w:shd w:val="clear" w:color="auto" w:fill="auto"/>
        <w:bidi w:val="0"/>
        <w:spacing w:before="0" w:after="0" w:line="240" w:lineRule="auto"/>
        <w:ind w:left="0" w:right="0" w:firstLine="0"/>
        <w:jc w:val="left"/>
        <w:sectPr>
          <w:footerReference w:type="default" r:id="rId9"/>
          <w:footnotePr>
            <w:pos w:val="pageBottom"/>
            <w:numFmt w:val="decimal"/>
            <w:numRestart w:val="continuous"/>
          </w:footnotePr>
          <w:pgSz w:w="11900" w:h="16840"/>
          <w:pgMar w:top="284" w:right="1064" w:bottom="1231" w:left="1140" w:header="0" w:footer="3" w:gutter="0"/>
          <w:pgNumType w:start="1"/>
          <w:cols w:num="2" w:space="826"/>
          <w:noEndnote/>
          <w:rtlGutter w:val="0"/>
          <w:docGrid w:linePitch="360"/>
        </w:sectPr>
      </w:pPr>
      <w:r>
        <w:rPr>
          <w:color w:val="000000"/>
          <w:spacing w:val="0"/>
          <w:w w:val="100"/>
          <w:position w:val="0"/>
          <w:shd w:val="clear" w:color="auto" w:fill="auto"/>
          <w:lang w:val="ru-RU" w:eastAsia="ru-RU" w:bidi="ru-RU"/>
        </w:rPr>
        <w:t>ООО «Сириус Проект» тГо@8ти8-ргоек1:.ги</w:t>
      </w:r>
    </w:p>
    <w:p>
      <w:pPr>
        <w:pStyle w:val="Style16"/>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РЕШЕНИЕ</w:t>
        <w:br/>
        <w:t>по делу № 051/06/106-883/2023</w:t>
      </w:r>
    </w:p>
    <w:p>
      <w:pPr>
        <w:pStyle w:val="Style16"/>
        <w:keepNext w:val="0"/>
        <w:keepLines w:val="0"/>
        <w:widowControl w:val="0"/>
        <w:shd w:val="clear" w:color="auto" w:fill="auto"/>
        <w:bidi w:val="0"/>
        <w:spacing w:before="0" w:after="340" w:line="240" w:lineRule="auto"/>
        <w:ind w:left="0" w:right="0" w:firstLine="740"/>
        <w:jc w:val="both"/>
      </w:pPr>
      <w:r>
        <mc:AlternateContent>
          <mc:Choice Requires="wps">
            <w:drawing>
              <wp:anchor distT="0" distB="0" distL="114300" distR="114300" simplePos="0" relativeHeight="125829378" behindDoc="0" locked="0" layoutInCell="1" allowOverlap="1">
                <wp:simplePos x="0" y="0"/>
                <wp:positionH relativeFrom="page">
                  <wp:posOffset>5761990</wp:posOffset>
                </wp:positionH>
                <wp:positionV relativeFrom="paragraph">
                  <wp:posOffset>12700</wp:posOffset>
                </wp:positionV>
                <wp:extent cx="1191895" cy="234950"/>
                <wp:wrapSquare wrapText="left"/>
                <wp:docPr id="5" name="Shape 5"/>
                <a:graphic xmlns:a="http://schemas.openxmlformats.org/drawingml/2006/main">
                  <a:graphicData uri="http://schemas.microsoft.com/office/word/2010/wordprocessingShape">
                    <wps:wsp>
                      <wps:cNvSpPr txBox="1"/>
                      <wps:spPr>
                        <a:xfrm>
                          <a:ext cx="119189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город Мурманск</w:t>
                            </w:r>
                          </w:p>
                        </w:txbxContent>
                      </wps:txbx>
                      <wps:bodyPr wrap="none" lIns="0" tIns="0" rIns="0" bIns="0">
                        <a:noAutoFit/>
                      </wps:bodyPr>
                    </wps:wsp>
                  </a:graphicData>
                </a:graphic>
              </wp:anchor>
            </w:drawing>
          </mc:Choice>
          <mc:Fallback>
            <w:pict>
              <v:shape id="_x0000_s1031" type="#_x0000_t202" style="position:absolute;margin-left:453.69999999999999pt;margin-top:1.pt;width:93.850000000000009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город Мурманск</w:t>
                      </w:r>
                    </w:p>
                  </w:txbxContent>
                </v:textbox>
                <w10:wrap type="square" side="left" anchorx="page"/>
              </v:shape>
            </w:pict>
          </mc:Fallback>
        </mc:AlternateContent>
      </w:r>
      <w:r>
        <w:rPr>
          <w:color w:val="000000"/>
          <w:spacing w:val="0"/>
          <w:w w:val="100"/>
          <w:position w:val="0"/>
          <w:shd w:val="clear" w:color="auto" w:fill="auto"/>
          <w:lang w:val="ru-RU" w:eastAsia="ru-RU" w:bidi="ru-RU"/>
        </w:rPr>
        <w:t>12 января 2024 года</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Председателя Комиссии Мурманского УФАС России: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Калитиной Н.А. - заместителя руководителя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Членов Комиссии Мурманского УФАС России: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Гребенюковой М.Е. - начальника отдела контроля торгов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Чоповской Н.И. - ведущего специалиста-эксперта отдела контроля рекламы и недобросовестной конкуренции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 участии представителей:</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Мурманского муниципального казенного учреждения «Управление закупок» - и.о. директора Кизенковой Е.В., Смирновой И.А., действующей по доверенности,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Мурманского муниципального казенного учреждения «Управление капитального строительства» (ММКУ УКС) - Терехиной О.В., действующей по доверенности,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общества с ограниченной ответственностью «Сириус Проект» - директора Соловьева А.А.</w:t>
      </w:r>
    </w:p>
    <w:p>
      <w:pPr>
        <w:pStyle w:val="Style16"/>
        <w:keepNext w:val="0"/>
        <w:keepLines w:val="0"/>
        <w:widowControl w:val="0"/>
        <w:shd w:val="clear" w:color="auto" w:fill="auto"/>
        <w:bidi w:val="0"/>
        <w:spacing w:before="0" w:after="400"/>
        <w:ind w:left="0" w:right="0" w:firstLine="74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«Сириус Проект» на действия Мурманского муниципального казенного учреждения «Управление закупок» и</w:t>
      </w:r>
    </w:p>
    <w:p>
      <w:pPr>
        <w:pStyle w:val="Style21"/>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Мурманского муниципального казенного учреждения «Управление капитального строительства» (ММКУ УКС) при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15 по улице Куйбышева в городе Мурманске. (Извещение № 0849300004923000616) (далее — Запрос котировок, Закупка) в соответствии со статьёй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19.12.2023 на официальном сайте Единой информационной системы в сфере закупок (далее - ЕИС) (</w:t>
      </w:r>
      <w:r>
        <w:fldChar w:fldCharType="begin"/>
      </w:r>
      <w:r>
        <w:rPr/>
        <w:instrText> HYPERLINK "https://zakupki.gov.ru/" </w:instrText>
      </w:r>
      <w:r>
        <w:fldChar w:fldCharType="separate"/>
      </w:r>
      <w:r>
        <w:rPr>
          <w:color w:val="000080"/>
          <w:spacing w:val="0"/>
          <w:w w:val="100"/>
          <w:position w:val="0"/>
          <w:u w:val="single"/>
          <w:shd w:val="clear" w:color="auto" w:fill="auto"/>
          <w:lang w:val="ru-RU" w:eastAsia="ru-RU" w:bidi="ru-RU"/>
        </w:rPr>
        <w:t>ИНрзУ/такиркЁдо^ш</w:t>
      </w:r>
      <w:r>
        <w:fldChar w:fldCharType="end"/>
      </w:r>
      <w:r>
        <w:rPr>
          <w:color w:val="000000"/>
          <w:spacing w:val="0"/>
          <w:w w:val="100"/>
          <w:position w:val="0"/>
          <w:shd w:val="clear" w:color="auto" w:fill="auto"/>
          <w:lang w:val="ru-RU" w:eastAsia="ru-RU" w:bidi="ru-RU"/>
        </w:rPr>
        <w:t>) Мурманским муниципальным казенным учреждением «Управление закупок». размещена информация о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15 по улице Куйбышева в городе Мурманске.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Наименование электронной площадки в информационно-телекоммуникационной сети «Интернет»: АО «Сбербанк-АСТ».</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Уполномоченное учреждение: Мурманское муниципальное казенное учреждение «Управление закупок» (далее Учреждение).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 Мурманское муниципальное казенное учреждение «Управление капитального строительства» (ММКУ УКС).</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Предмет закупки: выполнение работ по техническому обследованию несущих и ограждающих конструкций многоквартирного дома № 15 по улице Куйбышева, в городе Мурманске.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Начальная максимальная цена контракта: 565 705,84 рублей.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Окончание подачи заявок 26.12.2023.</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Подведение итогов: 27.12.2023.</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Протоколом подведения итогов определения поставщика (подрядчика, исполнителя) от 27.12.2023 победителем запроса котировок в электронной форме признан участник закупки с идентификационным номером заявки 63 - индивидуальный предприниматель Дробот Николай Юрьевич.</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Не согласившись с результатами подведения итогов, участник закупки - общество с ограниченной ответственностью «Сириус Проект» (далее - Заявитель, Общество) 28.12.2023 обратилось в Мурманское УФАС России с жалобой на действия Заказчика и уполномоченного учреждения. Общество полагает, что индивидуальный предприниматель в силу положений градостроительного законодательства не вправе выполнять работы по обследованию многоквартирных жилых домов, в связи с чем заявка ИП Дробот должна быть отклонена.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Уполномоченное учреждение, Заказчик с доводами жалобы не согласились, представили свои устные и письменные возражения.</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Жалоба рассмотрена дистанционно посредством сервиса веб</w:t>
        <w:softHyphen/>
      </w:r>
      <w:r>
        <w:rPr>
          <w:color w:val="000000"/>
          <w:spacing w:val="0"/>
          <w:w w:val="100"/>
          <w:position w:val="0"/>
          <w:shd w:val="clear" w:color="auto" w:fill="auto"/>
          <w:lang w:val="ru-RU" w:eastAsia="ru-RU" w:bidi="ru-RU"/>
        </w:rPr>
        <w:t>видеоконференцсвязи 12.01.2024.</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Мурманского УФАС России, изучив доводы Заявителя, выслушав возражения Учреждения, исследовав представленные сторонами документы и письменные возражения, приходит к следующим выводам.</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Рассматриваемые торги проведены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Подпунктом 2 пункта 1.1 части 1 раздела 1 электронного документа, размещенного в составе извещения (реестровый номер 0849300004923000616), «Требования к содержанию, составу заявки на участие в закупке и инструкции ее заполнению» установлено:</w:t>
      </w:r>
    </w:p>
    <w:p>
      <w:pPr>
        <w:pStyle w:val="Style16"/>
        <w:keepNext w:val="0"/>
        <w:keepLines w:val="0"/>
        <w:widowControl w:val="0"/>
        <w:numPr>
          <w:ilvl w:val="0"/>
          <w:numId w:val="1"/>
        </w:numPr>
        <w:shd w:val="clear" w:color="auto" w:fill="auto"/>
        <w:tabs>
          <w:tab w:pos="1013" w:val="left"/>
        </w:tabs>
        <w:bidi w:val="0"/>
        <w:spacing w:before="0" w:after="0"/>
        <w:ind w:left="0" w:right="0" w:firstLine="720"/>
        <w:jc w:val="both"/>
      </w:pPr>
      <w:r>
        <w:rPr>
          <w:color w:val="000000"/>
          <w:spacing w:val="0"/>
          <w:w w:val="100"/>
          <w:position w:val="0"/>
          <w:shd w:val="clear" w:color="auto" w:fill="auto"/>
          <w:lang w:val="ru-RU" w:eastAsia="ru-RU" w:bidi="ru-RU"/>
        </w:rPr>
        <w:t xml:space="preserve">участник закупки должен быть </w:t>
      </w:r>
      <w:r>
        <w:rPr>
          <w:i/>
          <w:iCs/>
          <w:color w:val="000000"/>
          <w:spacing w:val="0"/>
          <w:w w:val="100"/>
          <w:position w:val="0"/>
          <w:shd w:val="clear" w:color="auto" w:fill="auto"/>
          <w:lang w:val="ru-RU" w:eastAsia="ru-RU" w:bidi="ru-RU"/>
        </w:rPr>
        <w:t>индивидуальным предпринимателем или юридическим лицом - членом саморегулируемой организации</w:t>
      </w:r>
      <w:r>
        <w:rPr>
          <w:color w:val="000000"/>
          <w:spacing w:val="0"/>
          <w:w w:val="100"/>
          <w:position w:val="0"/>
          <w:shd w:val="clear" w:color="auto" w:fill="auto"/>
          <w:lang w:val="ru-RU" w:eastAsia="ru-RU" w:bidi="ru-RU"/>
        </w:rPr>
        <w:t>, основанной на членстве лиц, выполняющих инженерные изыскания, и имеющей (сформировавшей) компенсационные фонды возмещения вреда и обеспечения договорных обязательств (далее - СРО).</w:t>
      </w:r>
    </w:p>
    <w:p>
      <w:pPr>
        <w:pStyle w:val="Style16"/>
        <w:keepNext w:val="0"/>
        <w:keepLines w:val="0"/>
        <w:widowControl w:val="0"/>
        <w:numPr>
          <w:ilvl w:val="0"/>
          <w:numId w:val="1"/>
        </w:numPr>
        <w:shd w:val="clear" w:color="auto" w:fill="auto"/>
        <w:tabs>
          <w:tab w:pos="1013" w:val="left"/>
        </w:tabs>
        <w:bidi w:val="0"/>
        <w:spacing w:before="0" w:after="0"/>
        <w:ind w:left="0" w:right="0" w:firstLine="720"/>
        <w:jc w:val="both"/>
      </w:pPr>
      <w:r>
        <w:rPr>
          <w:color w:val="000000"/>
          <w:spacing w:val="0"/>
          <w:w w:val="100"/>
          <w:position w:val="0"/>
          <w:shd w:val="clear" w:color="auto" w:fill="auto"/>
          <w:lang w:val="ru-RU" w:eastAsia="ru-RU" w:bidi="ru-RU"/>
        </w:rPr>
        <w:t xml:space="preserve">участник закупки должен </w:t>
      </w:r>
      <w:r>
        <w:rPr>
          <w:i/>
          <w:iCs/>
          <w:color w:val="000000"/>
          <w:spacing w:val="0"/>
          <w:w w:val="100"/>
          <w:position w:val="0"/>
          <w:shd w:val="clear" w:color="auto" w:fill="auto"/>
          <w:lang w:val="ru-RU" w:eastAsia="ru-RU" w:bidi="ru-RU"/>
        </w:rPr>
        <w:t>иметь право выполнять работы по договору подряда на выполнение инженерных изысканий</w:t>
      </w:r>
      <w:r>
        <w:rPr>
          <w:color w:val="000000"/>
          <w:spacing w:val="0"/>
          <w:w w:val="100"/>
          <w:position w:val="0"/>
          <w:shd w:val="clear" w:color="auto" w:fill="auto"/>
          <w:lang w:val="ru-RU" w:eastAsia="ru-RU" w:bidi="ru-RU"/>
        </w:rPr>
        <w:t xml:space="preserve"> в отношении объекта капитального строительства (кроме особо опасных, технически сложных и уникальных объектов, объектов использования атомной энергии).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Соответствующая информация об участнике закупки должна быть включена в единый реестр сведений о членах саморегулируемых организаций и их обязательствах, предусмотренный статьей 55.17 Градостроительного кодекса Российской Федерации (далее ГрК РФ).</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Требование установлено на основании статей 47, 55.8, 55.17 ГрК РФ и не распространяется на участников закупки, указанных в части 2.1 статьи 47 ГрК РФ. В соответствии с подпунктом «н» пункта 1 части 1 статьи 43, частью 1 статьи 50 Закона о контрактной системе в сфере закупок в качестве документов, подтверждающих соответствие участника закупки требованиям, установленным в соответствии с пунктом 1 части 1 статьи 31 Закона о контрактной системе в сфере закупок в извещении об осуществлении закупки, сформированном с использованием ЕИС, в том числе в настоящем подпункте, рассматривается документ, предусмотренный подпунктом «ж» пункта 2.1 части 2 раздела I настоящего электронного документа и направленный уполномоченному учреждению оператором электронной площадки путем информационного взаимодействия с ЕИС.</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Предоставление какого-либо документа участником закупки в составе заявки на </w:t>
      </w:r>
      <w:r>
        <w:rPr>
          <w:color w:val="000000"/>
          <w:spacing w:val="0"/>
          <w:w w:val="100"/>
          <w:position w:val="0"/>
          <w:shd w:val="clear" w:color="auto" w:fill="auto"/>
          <w:lang w:val="ru-RU" w:eastAsia="ru-RU" w:bidi="ru-RU"/>
        </w:rPr>
        <w:t>участие в закупке не требуется, так как это не предусмотрено действующим законодательством Российской Федерации.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по осуществлению закупок ММКУ «Управление закупок» будет проверять соответствие участника закупки установленному требованию по данным единого реестра сведений о членах саморегулируемых организаций и их обязательствах, предусмотренного статьей 55.17 ГрК РФ.</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Извещением о проведении запроса котировок установлено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 без ограничения участия в закупке лиц, обладающих статусом «индивидуальный предприниматель».</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подпунктом «а» пункта 1 части 3 статьи 50 Закона о контрактной системе в сфере закупок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в сфере закупок,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 в сфере закупок.</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частью 9 статьи 24, подпунктом «б» пункта 1 части 3 статьи 50 Закона о контрактной системе, Протоколом подведения итогов определения поставщика (подрядчика, исполнителя) от 27.12.2023 победителем запроса котировок признан индивидуальный предприниматель Дробот Н.Ю., который является членом саморегулируемой организации, и заявка которого в полной мере соответствует требованиям Извещения.</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действия Комиссия по осуществлению закупок ММКУ «Управление закупок», признавшей победителем закупки участника закупки с идентификационным номером заявки 63 индивидуального предпринимателя Дробот Н.Ю. не противоречат требованиям законодательства о контрактной системе.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Кроме того, ООО «Сириус Проект» обжалует положения Извещения о проведении закупки, в части возможности участия в закупке индивидуальных предпринимателей.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Так, Заявитель, со ссылкой на положения абзаца 2 пункта 4 статьи 55.26-1 ГрК РФ, пункта 44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 а так же пункта 2.1 Методических рекомендации по оценке технических заключений специализированных организаций по обследованию технического состояния многоквартирных домов, утвержденных Госкорпорацией «Фонд содействия реформированию ЖКХ» 30.12.2020, указывает, что работы по обследованию жилых многоквартирных домов для получение заключений, необходимых для принятия </w:t>
      </w:r>
      <w:r>
        <w:rPr>
          <w:color w:val="000000"/>
          <w:spacing w:val="0"/>
          <w:w w:val="100"/>
          <w:position w:val="0"/>
          <w:shd w:val="clear" w:color="auto" w:fill="auto"/>
          <w:lang w:val="ru-RU" w:eastAsia="ru-RU" w:bidi="ru-RU"/>
        </w:rPr>
        <w:t>решений о признании жилых помещений непригодными для проживания и подлежащим сносу или реконструкции могут выполняться только юридическими лицами. По мнению ООО «Сириус Проект», лица, обладающие статусом «индивидуальный предприниматель» в силу положений градостроительного законодательства указанные работы осуществлять не вправе.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Данный довод жалобы рассмотрен Комиссией Мурманского УФАС России в рамках внеплановой проверки в соответствии с пунктом 1 части 15 статьи 99 Закона о контрактной системе.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Постановлением Администрации города Мурманска от 01.02.2022 № 230 многоквартирный дом № 15, расположенный по адресу: ул. Радищева, в городе Мурманске признан аварийным и подлежащим сносу.</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7 электронного документа «Описание объекта закупки», размещенного в составе извещения, определены цели и задачи инженерных изысканий: определение действительного технического состояния многоквартирного жилого дома и его элементов, получение количественной оценки фактических показателей качества конструкций с учетом изменений, происходящих во времени, для установления состава и объема работ по капитальному ремонту, реконструкции или сносу здания.</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10 «Описание объекта закупки», определено задание на отдельные виды работ в составе инженерных изысканий: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 Обмерные работы несущих и ограждающих конструкций здания с составлением поэтажных планов, плана чердачного помещения, поперечных и продольных разрезов, фасадов выполнить в соответствии с требованиями СП 13-102</w:t>
        <w:softHyphen/>
        <w:t>2003 «Правила обследования несущих строительных конструкций зданий и сооружений» (далее СП 13-102-2003);</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 Обследование несущих и ограждающих конструкций здания выполнить в соответствии с требованиями ГОСТ 31937-2011 «Межгосударственный стандарт. Здания и сооружения. Правила обследования и мониторинга технического состояния» (далее - ГОСТ 31937-2011).</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Подпунктом 22 пункта 1 Технического задания приложения к проекту контракта, размещенного в составе извещения, установлено: материалы и результаты инженерных изысканий оформляются в виде отчетной документации (технического отчета, заключения) о выполнении инженерных изысканий.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Пунктом 1.1. СП 13-102-2003 определено предназначение правил для применения при обследовании строительных конструкций зданий и сооружений жилищного, общественного, административно-бытового и производственного назначения с целью определения их технического состояния, а также их использование при решении вопросов о пригодности жилых домов для проживания в них. Правила регламентируют процедуру проведения обследования строительных конструкций, определяют принципиальную схему и состав работ, позволяющих объективно оценить техническое состояние, фактическую несущую способность конструкций и, в случае необходимости, принять обоснованные технические решения по ремонтно-восстановительным </w:t>
      </w:r>
      <w:r>
        <w:rPr>
          <w:color w:val="000000"/>
          <w:spacing w:val="0"/>
          <w:w w:val="100"/>
          <w:position w:val="0"/>
          <w:shd w:val="clear" w:color="auto" w:fill="auto"/>
          <w:lang w:val="ru-RU" w:eastAsia="ru-RU" w:bidi="ru-RU"/>
        </w:rPr>
        <w:t>мероприятиям или способам усилений.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3.4 ГОСТа 31937-2011 обследование технического состояния здания (сооружения): комплекс мероприятий по определению и оценке фактических значений контролируемых параметров, характеризующих работоспособность объекта обследования и определяющих возможность его дальнейшей эксплуатации, реконструкции или необходимость восстановления, усиления, ремонта, и включающий в себя обследование грунтов основания и строительных конструкций на предмет выявления изменения свойств грунтов, деформационных повреждений, дефектов несущих конструкций и определения их фактической несущей способности.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Учитывая изложенное, Комиссия Мурманского УФАС России, приходит к выводу, что предметом закупки не является получение заключения специализированной организаций, необходимого для принятия решения о признании жилых помещений соответствующими (не соответствующими) требованиям, установленным в Положении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перечнем видов инженерных изысканий, утвержденным Постановлением Правительства Российской Федерации от 19 января 2006 г. № 20 «Об инженерных изысканиях для подготовки проектной документации, строительства, реконструкции объектов капитального строительства», обследования состояния грунтов оснований зданий и сооружений, их строительных конструкций относится к специальным видам инженерных изысканий.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В соответствии с частью 2 статьи 47 Гр РФ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w:t>
      </w:r>
      <w:r>
        <w:rPr>
          <w:i/>
          <w:iCs/>
          <w:color w:val="000000"/>
          <w:spacing w:val="0"/>
          <w:w w:val="100"/>
          <w:position w:val="0"/>
          <w:shd w:val="clear" w:color="auto" w:fill="auto"/>
          <w:lang w:val="ru-RU" w:eastAsia="ru-RU" w:bidi="ru-RU"/>
        </w:rPr>
        <w:t>индивидуальными предпринимателями</w:t>
      </w:r>
      <w:r>
        <w:rPr>
          <w:color w:val="000000"/>
          <w:spacing w:val="0"/>
          <w:w w:val="100"/>
          <w:position w:val="0"/>
          <w:shd w:val="clear" w:color="auto" w:fill="auto"/>
          <w:lang w:val="ru-RU" w:eastAsia="ru-RU" w:bidi="ru-RU"/>
        </w:rPr>
        <w:t xml:space="preserve"> или юридическими лицами, </w:t>
      </w:r>
      <w:r>
        <w:rPr>
          <w:i/>
          <w:iCs/>
          <w:color w:val="000000"/>
          <w:spacing w:val="0"/>
          <w:w w:val="100"/>
          <w:position w:val="0"/>
          <w:shd w:val="clear" w:color="auto" w:fill="auto"/>
          <w:lang w:val="ru-RU" w:eastAsia="ru-RU" w:bidi="ru-RU"/>
        </w:rPr>
        <w:t>которые являются членами саморегулируемых организаций в области инженерных изысканий</w:t>
      </w:r>
      <w:r>
        <w:rPr>
          <w:color w:val="000000"/>
          <w:spacing w:val="0"/>
          <w:w w:val="100"/>
          <w:position w:val="0"/>
          <w:shd w:val="clear" w:color="auto" w:fill="auto"/>
          <w:lang w:val="ru-RU" w:eastAsia="ru-RU" w:bidi="ru-RU"/>
        </w:rPr>
        <w:t>,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вышеизложенного Комиссия Мурманского УФАС России, полагает, нормы законодательства, на которые ссылается Заявитель в своей жалобе, не применимы к объекту закупки.</w:t>
      </w:r>
      <w:r>
        <w:br w:type="page"/>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Более того, согласно части 3 статьи 9 Федерального закона от 30.12.2021 № 447- ФЗ «О внесении изменений в Градостроительный кодекс Российской Федерации и отдельные законодательные акты Российской Федерации», в связи с отсутствием в настоящее время утвержденного порядка признания объектов капитального строительства аварийными и подлежащими сносу или реконструкции, положения статьи 55.26-1 ГрК РФ не применяются.</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изложенного, Комиссия Мурманского УФАС приходит к выводу о необоснованности доводов жалобы ООО «Сириус Проект».</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Мурманского УФАС России, руководствуясь статьями 99, 106 Закона о контрактной системе,</w:t>
      </w:r>
    </w:p>
    <w:p>
      <w:pPr>
        <w:pStyle w:val="Style16"/>
        <w:keepNext w:val="0"/>
        <w:keepLines w:val="0"/>
        <w:widowControl w:val="0"/>
        <w:shd w:val="clear" w:color="auto" w:fill="auto"/>
        <w:bidi w:val="0"/>
        <w:spacing w:before="0" w:after="300"/>
        <w:ind w:left="0" w:right="0" w:firstLine="0"/>
        <w:jc w:val="center"/>
      </w:pPr>
      <w:r>
        <w:rPr>
          <w:color w:val="000000"/>
          <w:spacing w:val="0"/>
          <w:w w:val="100"/>
          <w:position w:val="0"/>
          <w:shd w:val="clear" w:color="auto" w:fill="auto"/>
          <w:lang w:val="ru-RU" w:eastAsia="ru-RU" w:bidi="ru-RU"/>
        </w:rPr>
        <w:t>РЕШИЛА:</w:t>
      </w:r>
    </w:p>
    <w:p>
      <w:pPr>
        <w:pStyle w:val="Style16"/>
        <w:keepNext w:val="0"/>
        <w:keepLines w:val="0"/>
        <w:widowControl w:val="0"/>
        <w:shd w:val="clear" w:color="auto" w:fill="auto"/>
        <w:bidi w:val="0"/>
        <w:spacing w:before="0" w:after="300"/>
        <w:ind w:left="0" w:right="0" w:firstLine="720"/>
        <w:jc w:val="both"/>
      </w:pPr>
      <w:r>
        <w:rPr>
          <w:color w:val="000000"/>
          <w:spacing w:val="0"/>
          <w:w w:val="100"/>
          <w:position w:val="0"/>
          <w:shd w:val="clear" w:color="auto" w:fill="auto"/>
          <w:lang w:val="ru-RU" w:eastAsia="ru-RU" w:bidi="ru-RU"/>
        </w:rPr>
        <w:t>1. Признать жалобу общества с ограниченной ответственностью «Сириус Проект» на действия Мурманского муниципального казенного учреждения «Управление закупок» и Мурманского муниципального казенного учреждения «Управление капитального строительства» (ММКУ УКС) при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15 по улице Куйбышева в городе Мурманске. (Извещение № 0849300004923000616) необоснованной.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трёх месяцев со дня его принятия.</w:t>
      </w:r>
    </w:p>
    <w:p>
      <w:pPr>
        <w:widowControl w:val="0"/>
        <w:spacing w:line="1" w:lineRule="exact"/>
        <w:sectPr>
          <w:footnotePr>
            <w:pos w:val="pageBottom"/>
            <w:numFmt w:val="decimal"/>
            <w:numRestart w:val="continuous"/>
          </w:footnotePr>
          <w:type w:val="continuous"/>
          <w:pgSz w:w="11900" w:h="16840"/>
          <w:pgMar w:top="101" w:right="659" w:bottom="1414" w:left="979" w:header="0" w:footer="3" w:gutter="0"/>
          <w:cols w:space="720"/>
          <w:noEndnote/>
          <w:rtlGutter w:val="0"/>
          <w:docGrid w:linePitch="360"/>
        </w:sectPr>
      </w:pPr>
      <w:r>
        <mc:AlternateContent>
          <mc:Choice Requires="wps">
            <w:drawing>
              <wp:anchor distT="152400" distB="396240" distL="0" distR="0" simplePos="0" relativeHeight="125829380" behindDoc="0" locked="0" layoutInCell="1" allowOverlap="1">
                <wp:simplePos x="0" y="0"/>
                <wp:positionH relativeFrom="page">
                  <wp:posOffset>751205</wp:posOffset>
                </wp:positionH>
                <wp:positionV relativeFrom="paragraph">
                  <wp:posOffset>152400</wp:posOffset>
                </wp:positionV>
                <wp:extent cx="1700530" cy="231775"/>
                <wp:wrapTopAndBottom/>
                <wp:docPr id="7" name="Shape 7"/>
                <a:graphic xmlns:a="http://schemas.openxmlformats.org/drawingml/2006/main">
                  <a:graphicData uri="http://schemas.microsoft.com/office/word/2010/wordprocessingShape">
                    <wps:wsp>
                      <wps:cNvSpPr txBox="1"/>
                      <wps:spPr>
                        <a:xfrm>
                          <a:ext cx="1700530" cy="23177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9.149999999999999pt;margin-top:12.pt;width:133.90000000000001pt;height:18.25pt;z-index:-125829373;mso-wrap-distance-left:0;mso-wrap-distance-top:12.pt;mso-wrap-distance-right:0;mso-wrap-distance-bottom:31.19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286385" distB="0" distL="0" distR="1639570" simplePos="0" relativeHeight="125829382" behindDoc="0" locked="0" layoutInCell="1" allowOverlap="1">
            <wp:simplePos x="0" y="0"/>
            <wp:positionH relativeFrom="page">
              <wp:posOffset>2723515</wp:posOffset>
            </wp:positionH>
            <wp:positionV relativeFrom="paragraph">
              <wp:posOffset>286385</wp:posOffset>
            </wp:positionV>
            <wp:extent cx="328930" cy="49403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0"/>
                    <a:stretch/>
                  </pic:blipFill>
                  <pic:spPr>
                    <a:xfrm>
                      <a:ext cx="328930" cy="4940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3147060</wp:posOffset>
                </wp:positionH>
                <wp:positionV relativeFrom="paragraph">
                  <wp:posOffset>655320</wp:posOffset>
                </wp:positionV>
                <wp:extent cx="1179830" cy="97790"/>
                <wp:wrapNone/>
                <wp:docPr id="11" name="Shape 11"/>
                <a:graphic xmlns:a="http://schemas.openxmlformats.org/drawingml/2006/main">
                  <a:graphicData uri="http://schemas.microsoft.com/office/word/2010/wordprocessingShape">
                    <wps:wsp>
                      <wps:cNvSpPr txBox="1"/>
                      <wps:spPr>
                        <a:xfrm>
                          <a:ext cx="1179830" cy="9779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7.80000000000001pt;margin-top:51.600000000000001pt;width:92.900000000000006pt;height:7.7000000000000002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3107690</wp:posOffset>
                </wp:positionH>
                <wp:positionV relativeFrom="paragraph">
                  <wp:posOffset>368935</wp:posOffset>
                </wp:positionV>
                <wp:extent cx="1584960" cy="237490"/>
                <wp:wrapNone/>
                <wp:docPr id="13" name="Shape 13"/>
                <a:graphic xmlns:a="http://schemas.openxmlformats.org/drawingml/2006/main">
                  <a:graphicData uri="http://schemas.microsoft.com/office/word/2010/wordprocessingShape">
                    <wps:wsp>
                      <wps:cNvSpPr txBox="1"/>
                      <wps:spPr>
                        <a:xfrm>
                          <a:ext cx="1584960" cy="237490"/>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4.70000000000002pt;margin-top:29.050000000000001pt;width:124.8pt;height:18.699999999999999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52400" distB="414655" distL="0" distR="0" simplePos="0" relativeHeight="125829383" behindDoc="0" locked="0" layoutInCell="1" allowOverlap="1">
                <wp:simplePos x="0" y="0"/>
                <wp:positionH relativeFrom="page">
                  <wp:posOffset>5954395</wp:posOffset>
                </wp:positionH>
                <wp:positionV relativeFrom="paragraph">
                  <wp:posOffset>152400</wp:posOffset>
                </wp:positionV>
                <wp:extent cx="1069975" cy="213360"/>
                <wp:wrapTopAndBottom/>
                <wp:docPr id="15" name="Shape 15"/>
                <a:graphic xmlns:a="http://schemas.openxmlformats.org/drawingml/2006/main">
                  <a:graphicData uri="http://schemas.microsoft.com/office/word/2010/wordprocessingShape">
                    <wps:wsp>
                      <wps:cNvSpPr txBox="1"/>
                      <wps:spPr>
                        <a:xfrm>
                          <a:ext cx="1069975" cy="21336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Калитина</w:t>
                            </w:r>
                          </w:p>
                        </w:txbxContent>
                      </wps:txbx>
                      <wps:bodyPr wrap="none" lIns="0" tIns="0" rIns="0" bIns="0">
                        <a:noAutoFit/>
                      </wps:bodyPr>
                    </wps:wsp>
                  </a:graphicData>
                </a:graphic>
              </wp:anchor>
            </w:drawing>
          </mc:Choice>
          <mc:Fallback>
            <w:pict>
              <v:shape id="_x0000_s1041" type="#_x0000_t202" style="position:absolute;margin-left:468.85000000000002pt;margin-top:12.pt;width:84.25pt;height:16.800000000000001pt;z-index:-125829370;mso-wrap-distance-left:0;mso-wrap-distance-top:12.pt;mso-wrap-distance-right:0;mso-wrap-distance-bottom:32.64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Калитина</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pPr>
      <w:r>
        <w:rPr>
          <w:color w:val="606060"/>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Калитина Наталия Александровна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606060"/>
          <w:spacing w:val="0"/>
          <w:w w:val="100"/>
          <w:position w:val="0"/>
          <w:shd w:val="clear" w:color="auto" w:fill="auto"/>
          <w:lang w:val="ru-RU" w:eastAsia="ru-RU" w:bidi="ru-RU"/>
        </w:rPr>
        <w:t xml:space="preserve">№ </w:t>
      </w:r>
      <w:r>
        <w:rPr>
          <w:color w:val="969696"/>
          <w:spacing w:val="0"/>
          <w:w w:val="100"/>
          <w:position w:val="0"/>
          <w:shd w:val="clear" w:color="auto" w:fill="auto"/>
          <w:lang w:val="ru-RU" w:eastAsia="ru-RU" w:bidi="ru-RU"/>
        </w:rPr>
        <w:t>1</w:t>
      </w:r>
      <w:r>
        <w:rPr>
          <w:color w:val="606060"/>
          <w:spacing w:val="0"/>
          <w:w w:val="100"/>
          <w:position w:val="0"/>
          <w:shd w:val="clear" w:color="auto" w:fill="auto"/>
          <w:lang w:val="ru-RU" w:eastAsia="ru-RU" w:bidi="ru-RU"/>
        </w:rPr>
        <w:t xml:space="preserve">132В001 </w:t>
      </w:r>
      <w:r>
        <w:rPr>
          <w:spacing w:val="0"/>
          <w:w w:val="100"/>
          <w:position w:val="0"/>
          <w:shd w:val="clear" w:color="auto" w:fill="auto"/>
          <w:lang w:val="ru-RU" w:eastAsia="ru-RU" w:bidi="ru-RU"/>
        </w:rPr>
        <w:t>Е39П444Е3409А0816879Е090</w:t>
      </w:r>
    </w:p>
    <w:p>
      <w:pPr>
        <w:pStyle w:val="Style27"/>
        <w:keepNext w:val="0"/>
        <w:keepLines w:val="0"/>
        <w:widowControl w:val="0"/>
        <w:shd w:val="clear" w:color="auto" w:fill="auto"/>
        <w:bidi w:val="0"/>
        <w:spacing w:before="0" w:after="300" w:line="240" w:lineRule="auto"/>
        <w:ind w:right="0" w:firstLine="0"/>
        <w:jc w:val="left"/>
      </w:pPr>
      <w:r>
        <w:rPr>
          <w:spacing w:val="0"/>
          <w:w w:val="100"/>
          <w:position w:val="0"/>
          <w:shd w:val="clear" w:color="auto" w:fill="auto"/>
          <w:lang w:val="ru-RU" w:eastAsia="ru-RU" w:bidi="ru-RU"/>
        </w:rPr>
        <w:t xml:space="preserve">Действителен с </w:t>
      </w:r>
      <w:r>
        <w:rPr>
          <w:color w:val="606060"/>
          <w:spacing w:val="0"/>
          <w:w w:val="100"/>
          <w:position w:val="0"/>
          <w:shd w:val="clear" w:color="auto" w:fill="auto"/>
          <w:lang w:val="ru-RU" w:eastAsia="ru-RU" w:bidi="ru-RU"/>
        </w:rPr>
        <w:t xml:space="preserve">22.05.2023 </w:t>
      </w:r>
      <w:r>
        <w:rPr>
          <w:color w:val="969696"/>
          <w:spacing w:val="0"/>
          <w:w w:val="100"/>
          <w:position w:val="0"/>
          <w:shd w:val="clear" w:color="auto" w:fill="auto"/>
          <w:lang w:val="ru-RU" w:eastAsia="ru-RU" w:bidi="ru-RU"/>
        </w:rPr>
        <w:t xml:space="preserve">по </w:t>
      </w:r>
      <w:r>
        <w:rPr>
          <w:color w:val="606060"/>
          <w:spacing w:val="0"/>
          <w:w w:val="100"/>
          <w:position w:val="0"/>
          <w:shd w:val="clear" w:color="auto" w:fill="auto"/>
          <w:lang w:val="ru-RU" w:eastAsia="ru-RU" w:bidi="ru-RU"/>
        </w:rPr>
        <w:t>14.08.2024</w:t>
      </w:r>
    </w:p>
    <w:p>
      <w:pPr>
        <w:pStyle w:val="Style1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6"/>
        <w:keepNext w:val="0"/>
        <w:keepLines w:val="0"/>
        <w:widowControl w:val="0"/>
        <w:shd w:val="clear" w:color="auto" w:fill="auto"/>
        <w:bidi w:val="0"/>
        <w:spacing w:before="0" w:after="640" w:line="240" w:lineRule="auto"/>
        <w:ind w:left="0" w:right="0" w:firstLine="0"/>
        <w:jc w:val="right"/>
      </w:pPr>
      <w:r>
        <w:drawing>
          <wp:anchor distT="0" distB="0" distL="114300" distR="1744980" simplePos="0" relativeHeight="125829385" behindDoc="0" locked="0" layoutInCell="1" allowOverlap="1">
            <wp:simplePos x="0" y="0"/>
            <wp:positionH relativeFrom="page">
              <wp:posOffset>2720340</wp:posOffset>
            </wp:positionH>
            <wp:positionV relativeFrom="paragraph">
              <wp:posOffset>114300</wp:posOffset>
            </wp:positionV>
            <wp:extent cx="328930" cy="49403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2"/>
                    <a:stretch/>
                  </pic:blipFill>
                  <pic:spPr>
                    <a:xfrm>
                      <a:ext cx="328930" cy="49403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3140710</wp:posOffset>
                </wp:positionH>
                <wp:positionV relativeFrom="paragraph">
                  <wp:posOffset>480060</wp:posOffset>
                </wp:positionV>
                <wp:extent cx="1170305" cy="97790"/>
                <wp:wrapNone/>
                <wp:docPr id="19" name="Shape 19"/>
                <a:graphic xmlns:a="http://schemas.openxmlformats.org/drawingml/2006/main">
                  <a:graphicData uri="http://schemas.microsoft.com/office/word/2010/wordprocessingShape">
                    <wps:wsp>
                      <wps:cNvSpPr txBox="1"/>
                      <wps:spPr>
                        <a:xfrm>
                          <a:ext cx="1170305" cy="9779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9E9E9"/>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5" type="#_x0000_t202" style="position:absolute;margin-left:247.30000000000001pt;margin-top:37.800000000000004pt;width:92.150000000000006pt;height:7.7000000000000002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9E9E9"/>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3101340</wp:posOffset>
                </wp:positionH>
                <wp:positionV relativeFrom="paragraph">
                  <wp:posOffset>196850</wp:posOffset>
                </wp:positionV>
                <wp:extent cx="1576070" cy="237490"/>
                <wp:wrapNone/>
                <wp:docPr id="21" name="Shape 21"/>
                <a:graphic xmlns:a="http://schemas.openxmlformats.org/drawingml/2006/main">
                  <a:graphicData uri="http://schemas.microsoft.com/office/word/2010/wordprocessingShape">
                    <wps:wsp>
                      <wps:cNvSpPr txBox="1"/>
                      <wps:spPr>
                        <a:xfrm>
                          <a:ext cx="1576070" cy="237490"/>
                        </a:xfrm>
                        <a:prstGeom prst="rect"/>
                        <a:noFill/>
                      </wps:spPr>
                      <wps:txbx>
                        <w:txbxContent>
                          <w:p>
                            <w:pPr>
                              <w:pStyle w:val="Style13"/>
                              <w:keepNext w:val="0"/>
                              <w:keepLines w:val="0"/>
                              <w:widowControl w:val="0"/>
                              <w:shd w:val="clear" w:color="auto" w:fill="auto"/>
                              <w:bidi w:val="0"/>
                              <w:spacing w:before="0" w:after="0"/>
                              <w:ind w:left="0" w:right="0" w:firstLine="0"/>
                              <w:jc w:val="left"/>
                            </w:pPr>
                            <w:r>
                              <w:rPr>
                                <w:color w:val="494949"/>
                                <w:spacing w:val="0"/>
                                <w:w w:val="100"/>
                                <w:position w:val="0"/>
                                <w:shd w:val="clear" w:color="auto" w:fill="auto"/>
                                <w:lang w:val="ru-RU" w:eastAsia="ru-RU" w:bidi="ru-RU"/>
                              </w:rPr>
                              <w:t xml:space="preserve">Подлинник </w:t>
                            </w:r>
                            <w:r>
                              <w:rPr>
                                <w:spacing w:val="0"/>
                                <w:w w:val="100"/>
                                <w:position w:val="0"/>
                                <w:shd w:val="clear" w:color="auto" w:fill="auto"/>
                                <w:lang w:val="ru-RU" w:eastAsia="ru-RU" w:bidi="ru-RU"/>
                              </w:rPr>
                              <w:t>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4.20000000000002pt;margin-top:15.5pt;width:124.10000000000001pt;height:18.699999999999999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color w:val="494949"/>
                          <w:spacing w:val="0"/>
                          <w:w w:val="100"/>
                          <w:position w:val="0"/>
                          <w:shd w:val="clear" w:color="auto" w:fill="auto"/>
                          <w:lang w:val="ru-RU" w:eastAsia="ru-RU" w:bidi="ru-RU"/>
                        </w:rPr>
                        <w:t xml:space="preserve">Подлинник </w:t>
                      </w:r>
                      <w:r>
                        <w:rPr>
                          <w:spacing w:val="0"/>
                          <w:w w:val="100"/>
                          <w:position w:val="0"/>
                          <w:shd w:val="clear" w:color="auto" w:fill="auto"/>
                          <w:lang w:val="ru-RU" w:eastAsia="ru-RU" w:bidi="ru-RU"/>
                        </w:rPr>
                        <w:t>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М.Е. Гребенюкова</w:t>
      </w:r>
    </w:p>
    <w:p>
      <w:pPr>
        <w:pStyle w:val="Style27"/>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Кому </w:t>
      </w:r>
      <w:r>
        <w:rPr>
          <w:color w:val="7F7F7F"/>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Гребенюкова Маргарита Евгеньевна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242424"/>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00070С5В0270А32676СА50332С73Е726С</w:t>
      </w:r>
      <w:r>
        <w:rPr>
          <w:spacing w:val="0"/>
          <w:w w:val="100"/>
          <w:position w:val="0"/>
          <w:shd w:val="clear" w:color="auto" w:fill="auto"/>
          <w:lang w:val="ru-RU" w:eastAsia="ru-RU" w:bidi="ru-RU"/>
        </w:rPr>
        <w:t>В</w:t>
      </w:r>
    </w:p>
    <w:p>
      <w:pPr>
        <w:pStyle w:val="Style27"/>
        <w:keepNext w:val="0"/>
        <w:keepLines w:val="0"/>
        <w:widowControl w:val="0"/>
        <w:shd w:val="clear" w:color="auto" w:fill="auto"/>
        <w:bidi w:val="0"/>
        <w:spacing w:before="0" w:after="3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05.12.2022 </w:t>
      </w:r>
      <w:r>
        <w:rPr>
          <w:color w:val="242424"/>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28.02.2024</w:t>
      </w:r>
    </w:p>
    <w:p>
      <w:pPr>
        <w:pStyle w:val="Style16"/>
        <w:keepNext w:val="0"/>
        <w:keepLines w:val="0"/>
        <w:widowControl w:val="0"/>
        <w:shd w:val="clear" w:color="auto" w:fill="auto"/>
        <w:bidi w:val="0"/>
        <w:spacing w:before="0" w:after="640" w:line="240" w:lineRule="auto"/>
        <w:ind w:left="0" w:right="0" w:firstLine="0"/>
        <w:jc w:val="right"/>
      </w:pPr>
      <w:r>
        <w:drawing>
          <wp:anchor distT="0" distB="0" distL="114300" distR="1729740" simplePos="0" relativeHeight="125829386" behindDoc="0" locked="0" layoutInCell="1" allowOverlap="1">
            <wp:simplePos x="0" y="0"/>
            <wp:positionH relativeFrom="page">
              <wp:posOffset>2729230</wp:posOffset>
            </wp:positionH>
            <wp:positionV relativeFrom="paragraph">
              <wp:posOffset>101600</wp:posOffset>
            </wp:positionV>
            <wp:extent cx="323215" cy="48768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4"/>
                    <a:stretch/>
                  </pic:blipFill>
                  <pic:spPr>
                    <a:xfrm>
                      <a:ext cx="323215" cy="48768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3143885</wp:posOffset>
                </wp:positionH>
                <wp:positionV relativeFrom="paragraph">
                  <wp:posOffset>464185</wp:posOffset>
                </wp:positionV>
                <wp:extent cx="1161415" cy="97790"/>
                <wp:wrapNone/>
                <wp:docPr id="25" name="Shape 25"/>
                <a:graphic xmlns:a="http://schemas.openxmlformats.org/drawingml/2006/main">
                  <a:graphicData uri="http://schemas.microsoft.com/office/word/2010/wordprocessingShape">
                    <wps:wsp>
                      <wps:cNvSpPr txBox="1"/>
                      <wps:spPr>
                        <a:xfrm>
                          <a:ext cx="1161415" cy="9779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7.55000000000001pt;margin-top:36.550000000000004pt;width:91.450000000000003pt;height:7.7000000000000002pt;z-index:251657737;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3103880</wp:posOffset>
                </wp:positionH>
                <wp:positionV relativeFrom="paragraph">
                  <wp:posOffset>184150</wp:posOffset>
                </wp:positionV>
                <wp:extent cx="1563370" cy="234950"/>
                <wp:wrapNone/>
                <wp:docPr id="27" name="Shape 27"/>
                <a:graphic xmlns:a="http://schemas.openxmlformats.org/drawingml/2006/main">
                  <a:graphicData uri="http://schemas.microsoft.com/office/word/2010/wordprocessingShape">
                    <wps:wsp>
                      <wps:cNvSpPr txBox="1"/>
                      <wps:spPr>
                        <a:xfrm>
                          <a:ext cx="1563370" cy="234950"/>
                        </a:xfrm>
                        <a:prstGeom prst="rect"/>
                        <a:noFill/>
                      </wps:spPr>
                      <wps:txbx>
                        <w:txbxContent>
                          <w:p>
                            <w:pPr>
                              <w:pStyle w:val="Style1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4.40000000000001pt;margin-top:14.5pt;width:123.10000000000001pt;height:18.5pt;z-index:25165773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Н.И. Чоповская</w:t>
      </w:r>
    </w:p>
    <w:p>
      <w:pPr>
        <w:pStyle w:val="Style27"/>
        <w:keepNext w:val="0"/>
        <w:keepLines w:val="0"/>
        <w:widowControl w:val="0"/>
        <w:shd w:val="clear" w:color="auto" w:fill="auto"/>
        <w:bidi w:val="0"/>
        <w:spacing w:before="0" w:after="0" w:line="240" w:lineRule="auto"/>
        <w:ind w:right="0" w:firstLine="0"/>
        <w:jc w:val="left"/>
      </w:pPr>
      <w:r>
        <w:rPr>
          <w:color w:val="606060"/>
          <w:spacing w:val="0"/>
          <w:w w:val="100"/>
          <w:position w:val="0"/>
          <w:shd w:val="clear" w:color="auto" w:fill="auto"/>
          <w:lang w:val="ru-RU" w:eastAsia="ru-RU" w:bidi="ru-RU"/>
        </w:rPr>
        <w:t xml:space="preserve">Кому </w:t>
      </w:r>
      <w:r>
        <w:rPr>
          <w:color w:val="242424"/>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Чоповская Наталья Ивановна</w:t>
      </w:r>
    </w:p>
    <w:p>
      <w:pPr>
        <w:pStyle w:val="Style27"/>
        <w:keepNext w:val="0"/>
        <w:keepLines w:val="0"/>
        <w:widowControl w:val="0"/>
        <w:shd w:val="clear" w:color="auto" w:fill="auto"/>
        <w:bidi w:val="0"/>
        <w:spacing w:before="0" w:after="0" w:line="240" w:lineRule="auto"/>
        <w:ind w:right="0" w:firstLine="0"/>
        <w:jc w:val="left"/>
      </w:pPr>
      <w:r>
        <w:rPr>
          <w:color w:val="606060"/>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0006А9А94649ВЕВВ52ВА969С9198921551</w:t>
      </w:r>
    </w:p>
    <w:p>
      <w:pPr>
        <w:pStyle w:val="Style27"/>
        <w:keepNext w:val="0"/>
        <w:keepLines w:val="0"/>
        <w:widowControl w:val="0"/>
        <w:shd w:val="clear" w:color="auto" w:fill="auto"/>
        <w:bidi w:val="0"/>
        <w:spacing w:before="0" w:after="300" w:line="240" w:lineRule="auto"/>
        <w:ind w:right="0" w:firstLine="0"/>
        <w:jc w:val="left"/>
      </w:pPr>
      <w:r>
        <w:rPr>
          <w:color w:val="606060"/>
          <w:spacing w:val="0"/>
          <w:w w:val="100"/>
          <w:position w:val="0"/>
          <w:shd w:val="clear" w:color="auto" w:fill="auto"/>
          <w:lang w:val="ru-RU" w:eastAsia="ru-RU" w:bidi="ru-RU"/>
        </w:rPr>
        <w:t xml:space="preserve">Действителен с 19.09.2023 </w:t>
      </w:r>
      <w:r>
        <w:rPr>
          <w:color w:val="242424"/>
          <w:spacing w:val="0"/>
          <w:w w:val="100"/>
          <w:position w:val="0"/>
          <w:shd w:val="clear" w:color="auto" w:fill="auto"/>
          <w:lang w:val="ru-RU" w:eastAsia="ru-RU" w:bidi="ru-RU"/>
        </w:rPr>
        <w:t xml:space="preserve">по </w:t>
      </w:r>
      <w:r>
        <w:rPr>
          <w:color w:val="606060"/>
          <w:spacing w:val="0"/>
          <w:w w:val="100"/>
          <w:position w:val="0"/>
          <w:shd w:val="clear" w:color="auto" w:fill="auto"/>
          <w:lang w:val="ru-RU" w:eastAsia="ru-RU" w:bidi="ru-RU"/>
        </w:rPr>
        <w:t>12.12.2024</w:t>
      </w:r>
    </w:p>
    <w:p>
      <w:pPr>
        <w:pStyle w:val="Style3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Исп.Конох А.А.</w:t>
      </w:r>
    </w:p>
    <w:p>
      <w:pPr>
        <w:pStyle w:val="Style35"/>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тел.8(8152) 68-50-55 вн.051-112</w:t>
      </w:r>
    </w:p>
    <w:sectPr>
      <w:footnotePr>
        <w:pos w:val="pageBottom"/>
        <w:numFmt w:val="decimal"/>
        <w:numRestart w:val="continuous"/>
      </w:footnotePr>
      <w:type w:val="continuous"/>
      <w:pgSz w:w="11900" w:h="16840"/>
      <w:pgMar w:top="1110" w:right="824" w:bottom="1345"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9859010</wp:posOffset>
              </wp:positionV>
              <wp:extent cx="560705" cy="100330"/>
              <wp:wrapNone/>
              <wp:docPr id="3" name="Shape 3"/>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30000000000007pt;width:44.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Подпись к картинке_"/>
    <w:basedOn w:val="DefaultParagraphFont"/>
    <w:link w:val="Style13"/>
    <w:rPr>
      <w:rFonts w:ascii="Times New Roman" w:eastAsia="Times New Roman" w:hAnsi="Times New Roman" w:cs="Times New Roman"/>
      <w:b w:val="0"/>
      <w:bCs w:val="0"/>
      <w:i w:val="0"/>
      <w:iCs w:val="0"/>
      <w:smallCaps w:val="0"/>
      <w:strike w:val="0"/>
      <w:color w:val="242424"/>
      <w:sz w:val="11"/>
      <w:szCs w:val="11"/>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2"/>
      <w:szCs w:val="3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494949"/>
      <w:sz w:val="11"/>
      <w:szCs w:val="11"/>
      <w:u w:val="none"/>
    </w:rPr>
  </w:style>
  <w:style w:type="character" w:customStyle="1" w:styleId="CharStyle36">
    <w:name w:val="Основной текст (5)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line="29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8">
    <w:name w:val="Основной текст (4)"/>
    <w:basedOn w:val="Normal"/>
    <w:link w:val="CharStyle9"/>
    <w:pPr>
      <w:widowControl w:val="0"/>
      <w:shd w:val="clear" w:color="auto" w:fill="auto"/>
      <w:spacing w:after="380"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Подпись к картинке"/>
    <w:basedOn w:val="Normal"/>
    <w:link w:val="CharStyle14"/>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1"/>
      <w:szCs w:val="11"/>
      <w:u w:val="none"/>
    </w:rPr>
  </w:style>
  <w:style w:type="paragraph" w:customStyle="1" w:styleId="Style16">
    <w:name w:val="Основной текст"/>
    <w:basedOn w:val="Normal"/>
    <w:link w:val="CharStyle17"/>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Заголовок №1"/>
    <w:basedOn w:val="Normal"/>
    <w:link w:val="CharStyle22"/>
    <w:pPr>
      <w:widowControl w:val="0"/>
      <w:shd w:val="clear" w:color="auto" w:fill="auto"/>
      <w:spacing w:after="340"/>
      <w:outlineLvl w:val="0"/>
    </w:pPr>
    <w:rPr>
      <w:rFonts w:ascii="Arial" w:eastAsia="Arial" w:hAnsi="Arial" w:cs="Arial"/>
      <w:b w:val="0"/>
      <w:bCs w:val="0"/>
      <w:i w:val="0"/>
      <w:iCs w:val="0"/>
      <w:smallCaps w:val="0"/>
      <w:strike w:val="0"/>
      <w:sz w:val="32"/>
      <w:szCs w:val="32"/>
      <w:u w:val="none"/>
    </w:rPr>
  </w:style>
  <w:style w:type="paragraph" w:customStyle="1" w:styleId="Style27">
    <w:name w:val="Основной текст (2)"/>
    <w:basedOn w:val="Normal"/>
    <w:link w:val="CharStyle28"/>
    <w:pPr>
      <w:widowControl w:val="0"/>
      <w:shd w:val="clear" w:color="auto" w:fill="auto"/>
      <w:ind w:left="3180"/>
    </w:pPr>
    <w:rPr>
      <w:rFonts w:ascii="Arial" w:eastAsia="Arial" w:hAnsi="Arial" w:cs="Arial"/>
      <w:b w:val="0"/>
      <w:bCs w:val="0"/>
      <w:i w:val="0"/>
      <w:iCs w:val="0"/>
      <w:smallCaps w:val="0"/>
      <w:strike w:val="0"/>
      <w:color w:val="494949"/>
      <w:sz w:val="11"/>
      <w:szCs w:val="11"/>
      <w:u w:val="none"/>
    </w:rPr>
  </w:style>
  <w:style w:type="paragraph" w:customStyle="1" w:styleId="Style35">
    <w:name w:val="Основной текст (5)"/>
    <w:basedOn w:val="Normal"/>
    <w:link w:val="CharStyle36"/>
    <w:pPr>
      <w:widowControl w:val="0"/>
      <w:shd w:val="clear" w:color="auto" w:fill="auto"/>
      <w:spacing w:after="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image" Target="media/image4.jpeg"/><Relationship Id="rId13" Type="http://schemas.openxmlformats.org/officeDocument/2006/relationships/image" Target="media/image4.jpeg" TargetMode="External"/><Relationship Id="rId14" Type="http://schemas.openxmlformats.org/officeDocument/2006/relationships/image" Target="media/image5.jpeg"/><Relationship Id="rId15" Type="http://schemas.openxmlformats.org/officeDocument/2006/relationships/image" Target="media/image5.jpeg" TargetMode="External"/></Relationships>
</file>