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5150" distL="1071245" distR="1059815" simplePos="0" relativeHeight="125829378" behindDoc="0" locked="0" layoutInCell="1" allowOverlap="1">
            <wp:simplePos x="0" y="0"/>
            <wp:positionH relativeFrom="page">
              <wp:posOffset>1781810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824865</wp:posOffset>
                </wp:positionH>
                <wp:positionV relativeFrom="paragraph">
                  <wp:posOffset>622300</wp:posOffset>
                </wp:positionV>
                <wp:extent cx="2414270" cy="1831975"/>
                <wp:wrapSquare wrapText="right"/>
                <wp:docPr id="3" name="Shape 3"/>
                <a:graphic xmlns:a="http://schemas.openxmlformats.org/drawingml/2006/main">
                  <a:graphicData uri="http://schemas.microsoft.com/office/word/2010/wordprocessingShape">
                    <wps:wsp>
                      <wps:cNvSpPr txBox="1"/>
                      <wps:spPr>
                        <a:xfrm>
                          <a:ext cx="2414270" cy="183197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1о77@(а8.еоу.ги</w:t>
                            </w:r>
                          </w:p>
                          <w:p>
                            <w:pPr>
                              <w:pStyle w:val="Style6"/>
                              <w:keepNext w:val="0"/>
                              <w:keepLines w:val="0"/>
                              <w:widowControl w:val="0"/>
                              <w:shd w:val="clear" w:color="auto" w:fill="auto"/>
                              <w:tabs>
                                <w:tab w:pos="1814" w:val="left"/>
                                <w:tab w:pos="253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6.01.2024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1115/24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950000000000003pt;margin-top:49.pt;width:190.09999999999999pt;height:144.2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1о77@(а8.еоу.ги</w:t>
                      </w:r>
                    </w:p>
                    <w:p>
                      <w:pPr>
                        <w:pStyle w:val="Style6"/>
                        <w:keepNext w:val="0"/>
                        <w:keepLines w:val="0"/>
                        <w:widowControl w:val="0"/>
                        <w:shd w:val="clear" w:color="auto" w:fill="auto"/>
                        <w:tabs>
                          <w:tab w:pos="1814" w:val="left"/>
                          <w:tab w:pos="253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6.01.2024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1115/24</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ГБУЗ «МКНЦ им. А.С. Логинова ДЗМ»</w: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V.8.поV^коV@ткпс.^и</w:t>
      </w:r>
    </w:p>
    <w:p>
      <w:pPr>
        <w:pStyle w:val="Style6"/>
        <w:keepNext w:val="0"/>
        <w:keepLines w:val="0"/>
        <w:widowControl w:val="0"/>
        <w:shd w:val="clear" w:color="auto" w:fill="auto"/>
        <w:bidi w:val="0"/>
        <w:spacing w:before="0" w:after="280" w:line="240" w:lineRule="auto"/>
        <w:ind w:left="1140" w:right="0" w:firstLine="0"/>
        <w:jc w:val="left"/>
      </w:pPr>
      <w:r>
        <w:rPr>
          <w:color w:val="000000"/>
          <w:spacing w:val="0"/>
          <w:w w:val="100"/>
          <w:position w:val="0"/>
          <w:shd w:val="clear" w:color="auto" w:fill="auto"/>
          <w:lang w:val="ru-RU" w:eastAsia="ru-RU" w:bidi="ru-RU"/>
        </w:rPr>
        <w:t>АО «СТ.-МЕДИФАРМ»</w:t>
      </w:r>
    </w:p>
    <w:p>
      <w:pPr>
        <w:pStyle w:val="Style6"/>
        <w:keepNext w:val="0"/>
        <w:keepLines w:val="0"/>
        <w:widowControl w:val="0"/>
        <w:shd w:val="clear" w:color="auto" w:fill="auto"/>
        <w:bidi w:val="0"/>
        <w:spacing w:before="0" w:after="2120" w:line="240" w:lineRule="auto"/>
        <w:ind w:left="1140" w:right="0" w:firstLine="0"/>
        <w:jc w:val="left"/>
      </w:pPr>
      <w:r>
        <w:rPr>
          <w:color w:val="000000"/>
          <w:spacing w:val="0"/>
          <w:w w:val="100"/>
          <w:position w:val="0"/>
          <w:shd w:val="clear" w:color="auto" w:fill="auto"/>
          <w:lang w:val="ru-RU" w:eastAsia="ru-RU" w:bidi="ru-RU"/>
        </w:rPr>
        <w:t>1е11с1е1@41-тес1Папп.П1</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18"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077/06/106-20/2024 о нарушении</w:t>
        <w:br/>
        <w:t>законодательства о контрактной системе</w:t>
        <w:br/>
        <w:t>11.01.2024</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ГБУЗ «МКНЦ им. А.С. Логинова ДЗМ»: В.С. Новикова (доверенность от 13.01.2023 №04/23),</w:t>
      </w:r>
    </w:p>
    <w:p>
      <w:pPr>
        <w:pStyle w:val="Style6"/>
        <w:keepNext w:val="0"/>
        <w:keepLines w:val="0"/>
        <w:widowControl w:val="0"/>
        <w:shd w:val="clear" w:color="auto" w:fill="auto"/>
        <w:bidi w:val="0"/>
        <w:spacing w:before="0" w:after="580" w:line="240" w:lineRule="auto"/>
        <w:ind w:left="0" w:right="0" w:firstLine="700"/>
        <w:jc w:val="both"/>
      </w:pPr>
      <w:r>
        <w:rPr>
          <w:color w:val="000000"/>
          <w:spacing w:val="0"/>
          <w:w w:val="100"/>
          <w:position w:val="0"/>
          <w:shd w:val="clear" w:color="auto" w:fill="auto"/>
          <w:lang w:val="ru-RU" w:eastAsia="ru-RU" w:bidi="ru-RU"/>
        </w:rPr>
        <w:t>АО «СТ.-МЕДИФАРМ»: Е.В. Березовской (доверенность от 09.01.2024 №б/н), рассмотрев жалобу АО «СТ.-МЕДИФАРМ» (далее — Заявитель) на действия ГБУЗ «МКНЦ им. А.С. Логинова ДЗМ» (далее — Заказчик) при проведении запроса котировок в электронной форме на право заключения государственного контракта на поставку экспресс-тестов для выявления антигена коронавируса 5АК5-СоУ-2 для нужд обособленного подразделения ГБУЗ МКНЦ имени А.С. Логинова ДЗМ в 2024 году (Закупка № 0373200022223001896) (далее - запрос котировок)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запроса котировок.</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6"/>
        <w:keepNext w:val="0"/>
        <w:keepLines w:val="0"/>
        <w:widowControl w:val="0"/>
        <w:numPr>
          <w:ilvl w:val="0"/>
          <w:numId w:val="1"/>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numPr>
          <w:ilvl w:val="0"/>
          <w:numId w:val="1"/>
        </w:numPr>
        <w:shd w:val="clear" w:color="auto" w:fill="auto"/>
        <w:tabs>
          <w:tab w:pos="1065" w:val="left"/>
        </w:tabs>
        <w:bidi w:val="0"/>
        <w:spacing w:before="0" w:after="0" w:line="264" w:lineRule="auto"/>
        <w:ind w:left="0" w:right="0" w:firstLine="700"/>
        <w:jc w:val="both"/>
        <w:rPr>
          <w:sz w:val="22"/>
          <w:szCs w:val="22"/>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227" w:right="540" w:bottom="757" w:left="1103"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r>
        <w:rPr>
          <w:rFonts w:ascii="Cambria" w:eastAsia="Cambria" w:hAnsi="Cambria" w:cs="Cambria"/>
          <w:color w:val="000000"/>
          <w:spacing w:val="0"/>
          <w:w w:val="100"/>
          <w:position w:val="0"/>
          <w:sz w:val="22"/>
          <w:szCs w:val="22"/>
          <w:shd w:val="clear" w:color="auto" w:fill="auto"/>
          <w:lang w:val="ru-RU" w:eastAsia="ru-RU" w:bidi="ru-RU"/>
        </w:rPr>
        <w:t>2024-1306</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неправомерное установление требований к товарам по поз. «Экспресс-тест (набор) для выявления антигена коронавируса ВАКВ-СоУ-2 методом иммунохроматографического анализа», которые влекут за собой ограничение количества участников закупки и препятствуют формированию заявки на участие в аукционе, а также указывают на закупку изделий единственного производителя ООО «РЭД», регистрационное удостоверение РЗН 2022/17486 от 06.06.2022.</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характеристики, предусмотренные техническим заданием, не влекут за собой ограничение количества участников закупки, поскольку помимо производителя ООО «РЭД» совокупности установленных характеристик Технического задания также отвечают изделия производителя ООО «ТК Азия», Регистрационное удостоверение РЗН 2022/17486 от 06.06.2022.</w:t>
      </w:r>
    </w:p>
    <w:p>
      <w:pPr>
        <w:pStyle w:val="Style6"/>
        <w:keepNext w:val="0"/>
        <w:keepLines w:val="0"/>
        <w:widowControl w:val="0"/>
        <w:shd w:val="clear" w:color="auto" w:fill="auto"/>
        <w:tabs>
          <w:tab w:pos="5870" w:val="left"/>
          <w:tab w:pos="759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подтверждение своей позиции Заказчиком представлено Информационное письмо от ООО «ТК Азия» от 28.12.2023 №318, согласно которому производитель подтверждает соответствие тестов</w:t>
        <w:tab/>
        <w:t>ЕессипНе</w:t>
        <w:tab/>
        <w:t>для определения</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иммунохроматографическим методом антигена ВАКВ-СоУ-2 характеристикам, установленным в Техническом задании.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также представлена сравнительная таблица изделий и Инструкция на «Набор реагентов 1.ессига1етм для определения иммунохроматографическим методом антигена коронавируса 8АК8-СоУ-2 с применением коллоидного золота», которые также подтверждают соответствие вышеуказанного изделия совокупности установленных характеристик Технического задания.</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Вместе с тем 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при этом на заседании Комиссии Управления, а также в составе жалобы Заявителем не представлено документов и сведений, свидетельствующих о невозможности формирования заявки в соответствии с требованиями извещения об осуществлении закупки, а также не представлено документов и доказательств, свидетельствующих об ограничении количества участников закупки и о нарушении Заказчиком норм законодательства об осуществлении закупок,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Комиссия Управления приходит к выводу, что доводы жалобы не нашли своего подтверждения и являются необоснованными.</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Также Комиссией Управления установлено, что на заседании Комиссии Управления Заявителем были озвучены дополнения к жалобе, которые содержали в себе дополнительные доводы жалобы, однако указанные Заявителем дополнения не отражены при подачи через жалобы через функционал Единой информационной системы в сфере закупок.</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Комиссия Управления отмечает, что порядок подачи жалобы регламентирован ст.105 Закона о контрактной системе, так, согласно ч.4 ст.105 Закона о контрактной системе при проведении электронных процедур жалоба может быть подана в контрольные органы в сфере закупок, предусмотренные ч.3 ст.105 Закона о контрактной системе, исключительно с использованием единой информационной системы путем формирования и размещения в этой системе соответствующей информации.</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дополнительные доводы жалобы не могут приняты к рассмотрению, поскольку не отраженные в тексте жалобы, доводы по своей сути являются вновь поданной жалобой, при направлении которой не соблюден порядок предусмотренный ч.4 ст.105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Кроме того, Комиссия Управления отмечает, что заявляя новые доводы в рамках возбужденного производства по иной жалобе, ранее назначенной к рассмотрению, Заявитель лишает контрольный орган в сфере закупок осуществить предусмотренные законом процессуальные действия, предусмотренные Законом о контрактной системе, а Заказчика и иных лиц, права и законные интересы которых непосредственно затрагиваются в результате рассмотрения жалобы возможности предоставить возражения.</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рассмотрение новых доводов по существу приведет к нарушению процессуальных прав заказчика и иных лиц, права и законные интересы которых непосредственно затрагиваются в результате рассмотрения жалобы на подготовку мотивированной правовой позиции по данным доводам и нарушению принципа равноправия сторон. 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5"/>
        </w:numPr>
        <w:shd w:val="clear" w:color="auto" w:fill="auto"/>
        <w:tabs>
          <w:tab w:pos="906"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.Признать жалобу АО «СТ.-МЕДИФАРМ» на действия ГБУЗ «МКНЦ им. А.С. Логинова ДЗМ» необоснованной.</w:t>
      </w:r>
    </w:p>
    <w:p>
      <w:pPr>
        <w:pStyle w:val="Style6"/>
        <w:keepNext w:val="0"/>
        <w:keepLines w:val="0"/>
        <w:widowControl w:val="0"/>
        <w:numPr>
          <w:ilvl w:val="0"/>
          <w:numId w:val="5"/>
        </w:numPr>
        <w:shd w:val="clear" w:color="auto" w:fill="auto"/>
        <w:tabs>
          <w:tab w:pos="920" w:val="left"/>
        </w:tabs>
        <w:bidi w:val="0"/>
        <w:spacing w:before="0" w:after="240" w:line="240" w:lineRule="auto"/>
        <w:ind w:left="0" w:right="0" w:firstLine="62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widowControl w:val="0"/>
        <w:spacing w:line="1" w:lineRule="exact"/>
        <w:sectPr>
          <w:headerReference w:type="default" r:id="rId11"/>
          <w:footerReference w:type="default" r:id="rId12"/>
          <w:footnotePr>
            <w:pos w:val="pageBottom"/>
            <w:numFmt w:val="decimal"/>
            <w:numRestart w:val="continuous"/>
          </w:footnotePr>
          <w:pgSz w:w="11900" w:h="16840"/>
          <w:pgMar w:top="1162" w:right="531" w:bottom="1114" w:left="1101" w:header="0" w:footer="3" w:gutter="0"/>
          <w:cols w:space="720"/>
          <w:noEndnote/>
          <w:rtlGutter w:val="0"/>
          <w:docGrid w:linePitch="360"/>
        </w:sectPr>
      </w:pPr>
      <w:r>
        <mc:AlternateContent>
          <mc:Choice Requires="wps">
            <w:drawing>
              <wp:anchor distT="63500" distB="219075" distL="0" distR="0" simplePos="0" relativeHeight="125829381" behindDoc="0" locked="0" layoutInCell="1" allowOverlap="1">
                <wp:simplePos x="0" y="0"/>
                <wp:positionH relativeFrom="page">
                  <wp:posOffset>732790</wp:posOffset>
                </wp:positionH>
                <wp:positionV relativeFrom="paragraph">
                  <wp:posOffset>63500</wp:posOffset>
                </wp:positionV>
                <wp:extent cx="1850390" cy="250190"/>
                <wp:wrapTopAndBottom/>
                <wp:docPr id="13" name="Shape 13"/>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700000000000003pt;margin-top:5.pt;width:145.70000000000002pt;height:19.699999999999999pt;z-index:-125829372;mso-wrap-distance-left:0;mso-wrap-distance-top:5.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33350" distB="0" distL="0" distR="1789430" simplePos="0" relativeHeight="125829383" behindDoc="0" locked="0" layoutInCell="1" allowOverlap="1">
            <wp:simplePos x="0" y="0"/>
            <wp:positionH relativeFrom="page">
              <wp:posOffset>3103880</wp:posOffset>
            </wp:positionH>
            <wp:positionV relativeFrom="paragraph">
              <wp:posOffset>133350</wp:posOffset>
            </wp:positionV>
            <wp:extent cx="353695" cy="40259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3521710</wp:posOffset>
                </wp:positionH>
                <wp:positionV relativeFrom="paragraph">
                  <wp:posOffset>224790</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7.30000000000001pt;margin-top:17.699999999999999pt;width:135.84999999999999pt;height:20.15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63500" distB="219075" distL="0" distR="0" simplePos="0" relativeHeight="125829384" behindDoc="0" locked="0" layoutInCell="1" allowOverlap="1">
                <wp:simplePos x="0" y="0"/>
                <wp:positionH relativeFrom="page">
                  <wp:posOffset>6334760</wp:posOffset>
                </wp:positionH>
                <wp:positionV relativeFrom="paragraph">
                  <wp:posOffset>63500</wp:posOffset>
                </wp:positionV>
                <wp:extent cx="880745" cy="250190"/>
                <wp:wrapTopAndBottom/>
                <wp:docPr id="19" name="Shape 19"/>
                <a:graphic xmlns:a="http://schemas.openxmlformats.org/drawingml/2006/main">
                  <a:graphicData uri="http://schemas.microsoft.com/office/word/2010/wordprocessingShape">
                    <wps:wsp>
                      <wps:cNvSpPr txBox="1"/>
                      <wps:spPr>
                        <a:xfrm>
                          <a:ext cx="88074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wps:txbx>
                      <wps:bodyPr wrap="none" lIns="0" tIns="0" rIns="0" bIns="0">
                        <a:noAutoFit/>
                      </wps:bodyPr>
                    </wps:wsp>
                  </a:graphicData>
                </a:graphic>
              </wp:anchor>
            </w:drawing>
          </mc:Choice>
          <mc:Fallback>
            <w:pict>
              <v:shape id="_x0000_s1045" type="#_x0000_t202" style="position:absolute;margin-left:498.80000000000001pt;margin-top:5.pt;width:69.350000000000009pt;height:19.699999999999999pt;z-index:-125829369;mso-wrap-distance-left:0;mso-wrap-distance-top:5.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Узкий Николай Александрович</w:t>
      </w:r>
    </w:p>
    <w:p>
      <w:pPr>
        <w:pStyle w:val="Style25"/>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C4C4C"/>
          <w:spacing w:val="0"/>
          <w:w w:val="100"/>
          <w:position w:val="0"/>
          <w:shd w:val="clear" w:color="auto" w:fill="auto"/>
          <w:lang w:val="ru-RU" w:eastAsia="ru-RU" w:bidi="ru-RU"/>
        </w:rPr>
        <w:t>00СС5А1А1</w:t>
      </w:r>
      <w:r>
        <w:rPr>
          <w:color w:val="262626"/>
          <w:spacing w:val="0"/>
          <w:w w:val="100"/>
          <w:position w:val="0"/>
          <w:shd w:val="clear" w:color="auto" w:fill="auto"/>
          <w:lang w:val="ru-RU" w:eastAsia="ru-RU" w:bidi="ru-RU"/>
        </w:rPr>
        <w:t>С3030775Е8423Р1</w:t>
      </w:r>
      <w:r>
        <w:rPr>
          <w:color w:val="4C4C4C"/>
          <w:spacing w:val="0"/>
          <w:w w:val="100"/>
          <w:position w:val="0"/>
          <w:shd w:val="clear" w:color="auto" w:fill="auto"/>
          <w:lang w:val="ru-RU" w:eastAsia="ru-RU" w:bidi="ru-RU"/>
        </w:rPr>
        <w:t>1867182162</w:t>
      </w:r>
    </w:p>
    <w:p>
      <w:pPr>
        <w:pStyle w:val="Style25"/>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24.01.2023 по 18.04.2024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20" w:line="240" w:lineRule="auto"/>
        <w:ind w:left="0" w:right="0" w:firstLine="880"/>
        <w:jc w:val="left"/>
      </w:pPr>
      <w:r>
        <w:drawing>
          <wp:anchor distT="0" distB="0" distL="114300" distR="1903730" simplePos="0" relativeHeight="125829386" behindDoc="0" locked="0" layoutInCell="1" allowOverlap="1">
            <wp:simplePos x="0" y="0"/>
            <wp:positionH relativeFrom="page">
              <wp:posOffset>3070860</wp:posOffset>
            </wp:positionH>
            <wp:positionV relativeFrom="paragraph">
              <wp:posOffset>25400</wp:posOffset>
            </wp:positionV>
            <wp:extent cx="389890" cy="57277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461010</wp:posOffset>
                </wp:positionV>
                <wp:extent cx="1280160" cy="103505"/>
                <wp:wrapNone/>
                <wp:docPr id="23" name="Shape 2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9" type="#_x0000_t202" style="position:absolute;margin-left:280.90000000000003pt;margin-top:36.300000000000004pt;width:100.8pt;height:8.15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3521710</wp:posOffset>
                </wp:positionH>
                <wp:positionV relativeFrom="paragraph">
                  <wp:posOffset>150495</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30000000000001pt;margin-top:11.85pt;width:135.84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Кутейников Антон Андреевич</w:t>
      </w:r>
    </w:p>
    <w:p>
      <w:pPr>
        <w:pStyle w:val="Style25"/>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 xml:space="preserve">6366183222Е5ОСЕ2САЗЕ6О732820С91 </w:t>
      </w:r>
      <w:r>
        <w:rPr>
          <w:color w:val="000000"/>
          <w:spacing w:val="0"/>
          <w:w w:val="100"/>
          <w:position w:val="0"/>
          <w:shd w:val="clear" w:color="auto" w:fill="auto"/>
          <w:lang w:val="ru-RU" w:eastAsia="ru-RU" w:bidi="ru-RU"/>
        </w:rPr>
        <w:t>С</w:t>
      </w:r>
    </w:p>
    <w:p>
      <w:pPr>
        <w:pStyle w:val="Style25"/>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23.01.2023 по 17.04.2024</w:t>
      </w:r>
    </w:p>
    <w:p>
      <w:pPr>
        <w:pStyle w:val="Style6"/>
        <w:keepNext w:val="0"/>
        <w:keepLines w:val="0"/>
        <w:widowControl w:val="0"/>
        <w:shd w:val="clear" w:color="auto" w:fill="auto"/>
        <w:bidi w:val="0"/>
        <w:spacing w:before="0" w:after="370" w:line="240" w:lineRule="auto"/>
        <w:ind w:left="1560" w:right="0" w:firstLine="0"/>
        <w:jc w:val="left"/>
      </w:pPr>
      <w:r>
        <w:drawing>
          <wp:anchor distT="0" distB="0" distL="114300" distR="1903730" simplePos="0" relativeHeight="125829387" behindDoc="0" locked="0" layoutInCell="1" allowOverlap="1">
            <wp:simplePos x="0" y="0"/>
            <wp:positionH relativeFrom="page">
              <wp:posOffset>3091815</wp:posOffset>
            </wp:positionH>
            <wp:positionV relativeFrom="paragraph">
              <wp:posOffset>76200</wp:posOffset>
            </wp:positionV>
            <wp:extent cx="365760" cy="37782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365760" cy="37782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3521710</wp:posOffset>
                </wp:positionH>
                <wp:positionV relativeFrom="paragraph">
                  <wp:posOffset>146050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30000000000001pt;margin-top:11.5pt;width:135.84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E9E9E9"/>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Гугава Эдуард Звиадович</w:t>
      </w:r>
    </w:p>
    <w:p>
      <w:pPr>
        <w:pStyle w:val="Style25"/>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6281 Е5АЕВ0О2ОВЕ2АВВСЕ65248493Е7С</w:t>
      </w:r>
    </w:p>
    <w:p>
      <w:pPr>
        <w:pStyle w:val="Style25"/>
        <w:keepNext w:val="0"/>
        <w:keepLines w:val="0"/>
        <w:widowControl w:val="0"/>
        <w:shd w:val="clear" w:color="auto" w:fill="auto"/>
        <w:bidi w:val="0"/>
        <w:spacing w:before="0" w:after="30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13.04.2023 по 06.07.2024</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Исп.Гугава Э.З. тел.495-784-75-05 вн.</w:t>
      </w:r>
    </w:p>
    <w:sectPr>
      <w:footnotePr>
        <w:pos w:val="pageBottom"/>
        <w:numFmt w:val="decimal"/>
        <w:numRestart w:val="continuous"/>
      </w:footnotePr>
      <w:type w:val="continuous"/>
      <w:pgSz w:w="11900" w:h="16840"/>
      <w:pgMar w:top="1479" w:right="527" w:bottom="147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10258425</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2024-1306</w:t>
                          </w:r>
                        </w:p>
                      </w:txbxContent>
                    </wps:txbx>
                    <wps:bodyPr wrap="none" lIns="0" tIns="0" rIns="0" bIns="0">
                      <a:spAutoFit/>
                    </wps:bodyPr>
                  </wps:wsp>
                </a:graphicData>
              </a:graphic>
            </wp:anchor>
          </w:drawing>
        </mc:Choice>
        <mc:Fallback>
          <w:pict>
            <v:shape id="_x0000_s1033" type="#_x0000_t202" style="position:absolute;margin-left:56.800000000000004pt;margin-top:807.7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2024-1306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10092690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2024-1306</w:t>
                          </w:r>
                        </w:p>
                      </w:txbxContent>
                    </wps:txbx>
                    <wps:bodyPr wrap="none" lIns="0" tIns="0" rIns="0" bIns="0">
                      <a:spAutoFit/>
                    </wps:bodyPr>
                  </wps:wsp>
                </a:graphicData>
              </a:graphic>
            </wp:anchor>
          </w:drawing>
        </mc:Choice>
        <mc:Fallback>
          <w:pict>
            <v:shape id="_x0000_s1037" type="#_x0000_t202" style="position:absolute;margin-left:57.pt;margin-top:794.70000000000005pt;width:51.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2024-1306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3926205</wp:posOffset>
              </wp:positionH>
              <wp:positionV relativeFrom="page">
                <wp:posOffset>434975</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15000000000003pt;margin-top:34.2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3927475</wp:posOffset>
              </wp:positionH>
              <wp:positionV relativeFrom="page">
                <wp:posOffset>476250</wp:posOffset>
              </wp:positionV>
              <wp:extent cx="57785" cy="103505"/>
              <wp:wrapNone/>
              <wp:docPr id="9" name="Shape 9"/>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9.25pt;margin-top:37.5pt;width:4.5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4">
    <w:name w:val="Основной текст (4)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666666"/>
      <w:sz w:val="12"/>
      <w:szCs w:val="12"/>
      <w:u w:val="none"/>
    </w:rPr>
  </w:style>
  <w:style w:type="character" w:customStyle="1" w:styleId="CharStyle33">
    <w:name w:val="Основной текст (5)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440"/>
      <w:ind w:firstLine="360"/>
      <w:outlineLvl w:val="0"/>
    </w:pPr>
    <w:rPr>
      <w:rFonts w:ascii="Arial" w:eastAsia="Arial" w:hAnsi="Arial" w:cs="Arial"/>
      <w:b w:val="0"/>
      <w:bCs w:val="0"/>
      <w:i w:val="0"/>
      <w:iCs w:val="0"/>
      <w:smallCaps w:val="0"/>
      <w:strike w:val="0"/>
      <w:sz w:val="34"/>
      <w:szCs w:val="34"/>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3">
    <w:name w:val="Основной текст (4)"/>
    <w:basedOn w:val="Normal"/>
    <w:link w:val="CharStyle24"/>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5">
    <w:name w:val="Основной текст (2)"/>
    <w:basedOn w:val="Normal"/>
    <w:link w:val="CharStyle26"/>
    <w:pPr>
      <w:widowControl w:val="0"/>
      <w:shd w:val="clear" w:color="auto" w:fill="auto"/>
      <w:ind w:left="3820"/>
    </w:pPr>
    <w:rPr>
      <w:rFonts w:ascii="Arial" w:eastAsia="Arial" w:hAnsi="Arial" w:cs="Arial"/>
      <w:b w:val="0"/>
      <w:bCs w:val="0"/>
      <w:i w:val="0"/>
      <w:iCs w:val="0"/>
      <w:smallCaps w:val="0"/>
      <w:strike w:val="0"/>
      <w:color w:val="666666"/>
      <w:sz w:val="12"/>
      <w:szCs w:val="12"/>
      <w:u w:val="none"/>
    </w:rPr>
  </w:style>
  <w:style w:type="paragraph" w:customStyle="1" w:styleId="Style32">
    <w:name w:val="Основной текст (5)"/>
    <w:basedOn w:val="Normal"/>
    <w:link w:val="CharStyle33"/>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