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1720" w:after="280" w:line="240" w:lineRule="auto"/>
        <w:ind w:left="0" w:right="0" w:firstLine="0"/>
        <w:jc w:val="center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20" w:line="269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УПРАВЛЕНИЕ</w:t>
        <w:br/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Федеральной антимонопольной службы</w:t>
        <w:br/>
        <w:t>по Вологодской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3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160000, г. Вологда, ул. Пушкинская, 25, тел. (8172)72-99-70; факс (8172)72-46-64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е-таП: </w:t>
      </w:r>
      <w:r>
        <w:rPr>
          <w:color w:val="000000"/>
          <w:spacing w:val="0"/>
          <w:w w:val="100"/>
          <w:position w:val="0"/>
          <w:sz w:val="26"/>
          <w:szCs w:val="26"/>
          <w:u w:val="single"/>
          <w:shd w:val="clear" w:color="auto" w:fill="auto"/>
          <w:lang w:val="ru-RU" w:eastAsia="ru-RU" w:bidi="ru-RU"/>
        </w:rPr>
        <w:t>1о35@Га8.цоу.ги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30" w:lineRule="auto"/>
        <w:ind w:left="0" w:right="0" w:firstLine="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11йр://уо1о§с1а.Га8.§оу.ги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240" w:lineRule="auto"/>
        <w:ind w:left="442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Заявитель: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4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«ФАРМ-СТ»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4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Е-шаП: Гагтз100@таИ.ги,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44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Гагш812@§шаИ.сот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240" w:lineRule="auto"/>
        <w:ind w:left="442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Заказчик: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4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БУЗ ВО «Шекснинская ЦРБ»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44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Е-таП: з1зек8пасгЬуо@Ьк.ги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240" w:lineRule="auto"/>
        <w:ind w:left="442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 электронной площадки:</w:t>
      </w:r>
      <w:bookmarkEnd w:id="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4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«ТЭК-Торг»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44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Е-таП: Ье1р@1ек1ог§.ги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№ 035/06/33-22/2024</w:t>
      </w:r>
      <w:bookmarkEnd w:id="6"/>
    </w:p>
    <w:p>
      <w:pPr>
        <w:pStyle w:val="Style2"/>
        <w:keepNext w:val="0"/>
        <w:keepLines w:val="0"/>
        <w:widowControl w:val="0"/>
        <w:shd w:val="clear" w:color="auto" w:fill="auto"/>
        <w:tabs>
          <w:tab w:pos="8530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«12» января 2024 г.</w:t>
        <w:tab/>
        <w:t>г. Вологда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по контролю в сфере закупок Управления Федеральной антимонопольной службы по Вологодской области (далее - комиссия Управления)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Смышляева И.А. - председатель комиссии Управления, заместитель начальника отдела контроля органов власти и закупок Управления Федеральной антимонопольной службы по Вологодской области,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Кузнецова Ю.Н. - член комиссии Управления, старший государственный инспектор отдела контроля органов власти и закупок Управления Федеральной антимонопольной службы по Вологодской области,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Шпякина М.А. - член комиссии Управления, ведущий специалист-эксперт отдела контроля органов власти и закупок Управления Федеральной антимонопольной службы по Вологодской области,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998" w:right="789" w:bottom="1024" w:left="1016" w:header="570" w:footer="596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рассмотрев с использованием видеоконференцсвязи жалобу ООО «ФАРМ-СТ» (далее - Заявитель) на положения извещения о проведении запроса котировок в электронной форме, предмет закупки - поставка медицинских изделий (глюкоза ИВД, набор, колориметрическая тест-полоска, экспресс-анализ) (далее - закупка, запрос 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котировок), извещение № 0330300011223000186, Заказчик - БУЗ ВО «Шекснинская ЦРБ»,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отсутствие представителя Заявителя (уведомлен надлежащим образом о времени и месте рассмотрения жалобы),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отсутствие представителя Заказчика (уведомлен надлежащим образом о времени и месте рассмотрения жалобы, ходатайство о рассмотрении жалобы в отсутствие),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280" w:line="252" w:lineRule="auto"/>
        <w:ind w:left="0" w:right="0" w:firstLine="0"/>
        <w:jc w:val="center"/>
      </w:pPr>
      <w:bookmarkStart w:id="8" w:name="bookmark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  <w:bookmarkEnd w:id="8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28.12.2023 в Управление Федеральной антимонопольной службы по Вологодской области (далее - Управление) посредством единой информационной системы в сфере закупок (далее - ЕИС) поступила жалоба Заявителя на положения извещения о проведении запроса котировок, противоречащие Федеральному закону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Жалоба Заявителя подана в надлежащий срок, а также соответствует требованиям, предусмотренным ст. 105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обжалует положения извещения о проведении запроса котировок.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мнению Заявителя Заказчиком при описании объекта закупки не применены положения пи. «б» п. 1 постановления Правительства Российской Федерации от 12.01.2023 № 10 «Об особенностях описания тест-полосок для определения содержания глюкозы в крови, являющихся объектом закупки для обеспечения государственных и муниципальных нужд, о типовых условиях контрактов, подлежащих применению заказчиками при осуществлении закупок, на поставку таких тест-полосок и о внесении изменений в перечень отдельных видов медицинских изделий, происходящих из иностранных государств, в отношении которых устанавливаются ограничения допуска для целей осуществления закупок для обеспечения государственных и муниципальных нужд» (далее - Постановление № 10).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представил возражения на жалобу (далее - Возражения), согласно которым, жалоба является необоснованной.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Управления, рассмотрев представленные материалы в их совокупности, пришла к следующему выводу.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22.12.2023 в ЕИС размещено извещение № 0330300011223000186 о проведении запроса котировок от 22.12.2023.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(максимальная) цена контракта: 84 909,60 руб.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Дата и время начала срока подачи заявок: 22.12.2023 в 11 ч. 27 мин.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Дата и время окончания срока подачи заявок: 29.12.2023 в 07 ч. 00 мин.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Дата подведения итогов определения поставщика (подрядчика, исполнителя): 10.01.2024.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п. 1, 2 ч. 1 ст. 33 Закона о контрактной системе заказчик в случаях, предусмотренных Законом о контрактной системе, при описании объекта закупки должен руководствоваться следующими правилами: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  <w:sectPr>
          <w:head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998" w:right="789" w:bottom="1024" w:left="1016" w:header="0" w:footer="596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/>
        <w:ind w:left="0" w:right="0" w:firstLine="8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сопровождение такого указания словами «или эквивалент»;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4" w:val="left"/>
        </w:tabs>
        <w:bidi w:val="0"/>
        <w:spacing w:before="0" w:after="0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4" w:val="left"/>
        </w:tabs>
        <w:bidi w:val="0"/>
        <w:spacing w:before="0" w:after="0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4" w:val="left"/>
        </w:tabs>
        <w:bidi w:val="0"/>
        <w:spacing w:before="0" w:after="0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7" w:val="left"/>
        </w:tabs>
        <w:bidi w:val="0"/>
        <w:spacing w:before="0" w:after="0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ч. 2 ст. 33 Закона о контрактной системе описание объекта закупки в соответствии с требованиями, указанными в ч.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ч. 5 ст. 33 Закона о контрактной системе особенности описания отдельных видов объектов закупок могут устанавливаться Правительством Российской Федерации.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Описании объекта закупки установлены показатели, позволяющие определить соответствие закупаемых товаров установленным Заказчиком требованиям:</w:t>
      </w:r>
    </w:p>
    <w:tbl>
      <w:tblPr>
        <w:tblOverlap w:val="never"/>
        <w:jc w:val="center"/>
        <w:tblLayout w:type="fixed"/>
      </w:tblPr>
      <w:tblGrid>
        <w:gridCol w:w="1267"/>
        <w:gridCol w:w="1138"/>
        <w:gridCol w:w="1272"/>
        <w:gridCol w:w="1282"/>
        <w:gridCol w:w="1286"/>
        <w:gridCol w:w="1982"/>
        <w:gridCol w:w="1003"/>
        <w:gridCol w:w="864"/>
      </w:tblGrid>
      <w:tr>
        <w:trPr>
          <w:trHeight w:val="76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Наименование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Код позиции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Наименование характеристик 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Значение характеристик 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Единица измерения характеристик 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Инструкция по заполнению характеристик в заявке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Количеств о (объем работы, услуги)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Единица измерен ИЯ</w:t>
            </w:r>
          </w:p>
        </w:tc>
      </w:tr>
      <w:tr>
        <w:trPr>
          <w:trHeight w:val="787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Глюкоза ИВД, набор, колориметрии сская тест- полоска, экспресс- анализ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21.20.23.110- 00009586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46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Количест</w:t>
              <w:softHyphen/>
              <w:t>во выполняемых тестов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&gt; 100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30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набор</w:t>
            </w:r>
          </w:p>
        </w:tc>
      </w:tr>
      <w:tr>
        <w:trPr>
          <w:trHeight w:val="792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46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Назначен 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Для глюкометров ОИЕ ТОПСН ЗЕЬЕСТ Р1Л18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/>
          </w:p>
        </w:tc>
      </w:tr>
    </w:tbl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п. 14 ч. 3 ст. 4 Закона о контрактной системе, ЕИС содержит в том числе КТРУ.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ч. 5 ст. 23 Закона о контрактной системе, формирование и ведение в ЕИС КТРУ обеспечиваются федеральным органом исполнительной власти по регулированию контрактной системы в сфере закупок.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ч. 6 ст. 23 Закона о контрактной системе, порядок формирования и ведения в ЕИС КТРУ, а также правила использования КТРУ устанавливаются Правительством Российской Федерации.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Постановлением Правительства Российской Федерации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- Постановление № 145) утверждены Правила формирования и ведения в ЕИС КТРУ и Правила использования КТРУ.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п. 2 Правил формирования и ведения в ЕИС КТРУ под КТРУ понимается систематизированный перечень товаров, работ, услуг, закупаемых для обеспечения государственных и муниципальных нужд, сформированный на основе ОКПД 2 и включающий в себя информацию в соответствии с настоящими Правилами.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и. 4 Правил использования КТРУ заказчики обязаны применять информацию, включенную в позицию КТРУ в соответствии с пи. «б» - «г» и «е» - «з» и. 10 Правил формирования и ведения в ЕИС КТРУ, утвержденных Постановлением № 145,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3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наименование товара, работы, услуги;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62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7" w:val="left"/>
        </w:tabs>
        <w:bidi w:val="0"/>
        <w:spacing w:before="0" w:after="0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описание товара, работы, услуги (при наличии такого описания в позиции).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рассматриваемой закупке описание объекта закупки осуществлено с использованием следующей позиции КТРУ: 21.20.23.110-00009586 «Глюкоза ИВД, набор, колориметрическая тест-полоска, экспресс-анализ».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КТРУ в отношении данной позиции имеется описание, которое использовано Заказчиком.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Пунктом 1 Постановления № 10 установлены следующие особенности описания тест-полосок для определения содержания глюкозы в крови, являющихся объектом закупки для обеспечения государственных и муниципальных нужд и предназначенных для анализатора уровня сахара крови портативного, соответствующего кодам 300680, 300690, 344110 вида медицинского изделия в соответствии с номенклатурной классификацией медицинских изделий (далее соответственно - тест-полоски, закупки, анализатор):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28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описании объекта закупки не указываются дополнительная информация и дополнительные потребительские свойства, которые не предусмотрены в позиции КТРУ, сформированной в отношении объекта закупки;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75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описании объекта закупки указываются: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слова «или эквивалент», сопровождающие указание на товарный знак тест- полосок, если описание объекта закупки содержит указание на товарный знак тест- полосок;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наименование анализатора, для которого предназначаются тест-полоски, его товарный знак (при наличии у анализатора товарного знака);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18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возможность безвозмездной передачи заказчику новых анализаторов, совместимых с поставляемыми тест-полосками, в случае если поставщик при подаче заявки на участие в закупке предложил к поставке тест-полоски, соответствующие показателям, указанным в описании объекта закупки в соответствии с ч. 2 ст. 33 Закона о контрактной системе, но являющиеся несовместимыми с анализатором, указанным в описании объекта закупки в соответствии с абзацем третьим настоящего подпункта;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18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количество анализаторов, подлежащих безвозмездной передаче заказчику поставщиком в случае, предусмотренном абзацем четвертым настоящего подпункта, соответствующее количеству пациентов, для обеспечения которых осуществляется закупка тест-полосок;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957" w:val="left"/>
        </w:tabs>
        <w:bidi w:val="0"/>
        <w:spacing w:before="0" w:after="0"/>
        <w:ind w:left="18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описании объекта закупки могут указываться требования: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83" w:val="left"/>
        </w:tabs>
        <w:bidi w:val="0"/>
        <w:spacing w:before="0" w:after="0"/>
        <w:ind w:left="18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обучению работников заказчика по использованию анализаторов в случае, предусмотренном абзацем четвертым пп. «б» настоящего пункта;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18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 гарантийным обязательствам, предусмотренным ч. 4 ст. 33 Закона о контрактной системе, в отношении анализатора, подлежащего безвозмездной передаче заказчику в случае, предусмотренном абзацем четвертым пп. «б» настоящего пункта.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18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относительно довода Заявителя, в Возражениях указывает, что описание объекта закупки осуществлено с использованием КТРУ, а в соответствии с пп. «а» п. 1 Постановления № 10 в описании объекта закупки не указываются дополнительная информация и дополнительные потребительские свойства, которые не предусмотрены в позиции КТРУ, сформированной в отношении объекта закупки, следовательно, нарушений при описании объекта закупки Заказчиком не допущено.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18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Комиссией Управления установлено, что в рассматриваемом случае Заказчиком соблюдены требования азб. 1 и 2 пп. «б» п. 1 Постановления № 10: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83" w:val="left"/>
        </w:tabs>
        <w:bidi w:val="0"/>
        <w:spacing w:before="0" w:after="0"/>
        <w:ind w:left="18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Описание объекта закупки не содержит указание на товарный знак тест полосок, следовательно, оно не должно содержать слова «или эквивалент», сопровождающие указание на товарный знак тест-полосок;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83" w:val="left"/>
        </w:tabs>
        <w:bidi w:val="0"/>
        <w:spacing w:before="0" w:after="0"/>
        <w:ind w:left="18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наименование анализатора, для которого предназначаются тест-полоски, его товарный знак указан Заказчиком в Описании объекта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18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Вместе с тем, Заказчиком при описании объекта закупки не указаны требования, предусмотренные абз. 3 и 4 пп. «б» п. 1 Постановления № 10.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18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Заказчик нарушил ч. 5 ст. 33 Закона о контрактной системе во взаимосвязи с абз. 3 и 4 пп. «б» п. 1 Постановления № 10.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18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п. 1 ч. 15 ст. 99 Закона о контрактной системе, комиссия Управления провела внеплановую проверку, по результатам которой иных нарушений не установлено.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18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п. 2 ч. 22 ст. 99 Закона о контрактной системе при выявлении в результате проведения контрольным органом в сфере закупок плановых и внеплановых проверок, а также в результате рассмотрения жалобы на действия (бездействие) субъектов контроля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18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Комиссией Управления принято решение выдать обязательное для исполнения предписание.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8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вышеизложенного, комиссия Управления, руководствуясь ст. ст. 99, 106 Закона о контрактной системе,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  <w:bookmarkEnd w:id="1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1245870</wp:posOffset>
                </wp:positionH>
                <wp:positionV relativeFrom="paragraph">
                  <wp:posOffset>12700</wp:posOffset>
                </wp:positionV>
                <wp:extent cx="128270" cy="18923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27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1.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98.100000000000009pt;margin-top:1.pt;width:10.1pt;height:14.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1.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ООО «ФАРМ-СТ» частично обоснованной.</w:t>
      </w:r>
      <w:r>
        <w:br w:type="page"/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Заказчика нарушившим ч. 5 ст. 33 Закона о контрактной системе во взаимосвязи с абз. 3 и 4 пп. «б» п. 1 Постановления № 10.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2161" w:val="left"/>
        </w:tabs>
        <w:bidi w:val="0"/>
        <w:spacing w:before="0" w:after="0" w:line="240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Выдать предписание.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1" w:val="left"/>
        </w:tabs>
        <w:bidi w:val="0"/>
        <w:spacing w:before="0" w:after="2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Передать материалы жалобы должностному лицу для рассмотрения вопроса о привлечении виновных должностных лица заказчика к административной ответственности.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54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340" w:firstLine="0"/>
        <w:jc w:val="right"/>
      </w:pPr>
      <w:r>
        <mc:AlternateContent>
          <mc:Choice Requires="wps">
            <w:drawing>
              <wp:anchor distT="0" distB="374650" distL="114300" distR="114300" simplePos="0" relativeHeight="125829380" behindDoc="0" locked="0" layoutInCell="1" allowOverlap="1">
                <wp:simplePos x="0" y="0"/>
                <wp:positionH relativeFrom="page">
                  <wp:posOffset>5601335</wp:posOffset>
                </wp:positionH>
                <wp:positionV relativeFrom="margin">
                  <wp:posOffset>1844040</wp:posOffset>
                </wp:positionV>
                <wp:extent cx="1197610" cy="18923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761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И.А. Смышляева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41.05000000000001pt;margin-top:145.20000000000002pt;width:94.299999999999997pt;height:14.9pt;z-index:-125829373;mso-wrap-distance-left:9.pt;mso-wrap-distance-right:9.pt;mso-wrap-distance-bottom:29.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И.А. Смышляева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68935" distB="0" distL="151130" distR="113665" simplePos="0" relativeHeight="125829382" behindDoc="0" locked="0" layoutInCell="1" allowOverlap="1">
                <wp:simplePos x="0" y="0"/>
                <wp:positionH relativeFrom="page">
                  <wp:posOffset>5638165</wp:posOffset>
                </wp:positionH>
                <wp:positionV relativeFrom="margin">
                  <wp:posOffset>2212975</wp:posOffset>
                </wp:positionV>
                <wp:extent cx="1161415" cy="194945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61415" cy="1949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Ю.Н. Кузнецова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43.94999999999999pt;margin-top:174.25pt;width:91.450000000000003pt;height:15.35pt;z-index:-125829371;mso-wrap-distance-left:11.9pt;mso-wrap-distance-top:29.050000000000001pt;mso-wrap-distance-right:8.950000000000001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Ю.Н. Кузнецова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drawing>
          <wp:anchor distT="0" distB="0" distL="0" distR="0" simplePos="0" relativeHeight="62914692" behindDoc="1" locked="0" layoutInCell="1" allowOverlap="1">
            <wp:simplePos x="0" y="0"/>
            <wp:positionH relativeFrom="margin">
              <wp:posOffset>2987040</wp:posOffset>
            </wp:positionH>
            <wp:positionV relativeFrom="margin">
              <wp:posOffset>1341120</wp:posOffset>
            </wp:positionV>
            <wp:extent cx="2602865" cy="1816735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ext cx="2602865" cy="18167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М.А. Шпякина</w:t>
      </w:r>
    </w:p>
    <w:sectPr>
      <w:headerReference w:type="default" r:id="rId8"/>
      <w:headerReference w:type="first" r:id="rId9"/>
      <w:footnotePr>
        <w:pos w:val="pageBottom"/>
        <w:numFmt w:val="decimal"/>
        <w:numRestart w:val="continuous"/>
      </w:footnotePr>
      <w:pgSz w:w="11900" w:h="16840"/>
      <w:pgMar w:top="998" w:right="789" w:bottom="1024" w:left="1016" w:header="0" w:footer="3" w:gutter="0"/>
      <w:pgNumType w:start="3"/>
      <w:cols w:space="720"/>
      <w:noEndnote/>
      <w:titlePg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6737985</wp:posOffset>
              </wp:positionH>
              <wp:positionV relativeFrom="page">
                <wp:posOffset>401955</wp:posOffset>
              </wp:positionV>
              <wp:extent cx="54610" cy="8826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i/>
                                <w:iCs/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30.54999999999995pt;margin-top:31.650000000000002pt;width:4.2999999999999998pt;height:6.95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fldSimple w:instr=" PAGE \* MERGEFORMAT ">
                      <w:r>
                        <w:rPr>
                          <w:rFonts w:ascii="Arial" w:eastAsia="Arial" w:hAnsi="Arial" w:cs="Arial"/>
                          <w:i/>
                          <w:iCs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6735445</wp:posOffset>
              </wp:positionH>
              <wp:positionV relativeFrom="page">
                <wp:posOffset>405130</wp:posOffset>
              </wp:positionV>
              <wp:extent cx="54610" cy="8826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30.35000000000002pt;margin-top:31.900000000000002pt;width:4.2999999999999998pt;height:6.9500000000000002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6814185</wp:posOffset>
              </wp:positionH>
              <wp:positionV relativeFrom="page">
                <wp:posOffset>478790</wp:posOffset>
              </wp:positionV>
              <wp:extent cx="48895" cy="9144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8895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36.54999999999995pt;margin-top:37.700000000000003pt;width:3.8500000000000001pt;height:7.2000000000000002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2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9">
    <w:name w:val="Заголовок №1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Другое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8">
    <w:name w:val="Заголовок №1"/>
    <w:basedOn w:val="Normal"/>
    <w:link w:val="CharStyle9"/>
    <w:pPr>
      <w:widowControl w:val="0"/>
      <w:shd w:val="clear" w:color="auto" w:fill="auto"/>
      <w:ind w:left="2210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Другое"/>
    <w:basedOn w:val="Normal"/>
    <w:link w:val="CharStyle15"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1.jpeg"/><Relationship Id="rId7" Type="http://schemas.openxmlformats.org/officeDocument/2006/relationships/image" Target="media/image1.jpeg" TargetMode="External"/><Relationship Id="rId8" Type="http://schemas.openxmlformats.org/officeDocument/2006/relationships/header" Target="header2.xml"/><Relationship Id="rId9" Type="http://schemas.openxmlformats.org/officeDocument/2006/relationships/header" Target="header3.xml"/></Relationships>
</file>