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ФГБОУ ВО «Красноярский ГАУ» пр. Мира, 90, г. Красноярск, 660049 тГо@кдаи.ш; 2270038@Ьк.ш; ш@кдаи.ш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ЧОО «Тамерлан»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Спандаряна, 12А, стр.1, пом.16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I8ЬаЬапоV@^ате^1ап-к^к.^и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«Единая электронная торговая площадка» ул. Кожевническая 14, стр. 5, г. Москва, 115114 тГо@гозе11огд.ги; ко@гозе11огд.ги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024/06/106-1/2024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6249670</wp:posOffset>
                </wp:positionH>
                <wp:positionV relativeFrom="paragraph">
                  <wp:posOffset>12700</wp:posOffset>
                </wp:positionV>
                <wp:extent cx="908050" cy="21018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2.10000000000002pt;margin-top:1.pt;width:71.5pt;height:16.5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 января 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управления - начальник аналитического отдела, М.А. Дударева, члены Комиссии по рассмотрению жалобы - начальник отдела М.А. Грицай, главный специалист - эксперт Е.М. Хоменко (далее - Комиссия), рассмотрев жалобу общества с ограниченной ответственностью Частная охранная организация «Тамерлан» на действия заказчика — Федерального государственного бюджетного образовательного учреждения высшего образования «Красноярский государственный аграрный университет» (далее — заказчик) при определении поставщика (подрядчика, исполнителя) путем проведения открытого конкурса в электронной форме «Оказание услуг частной охраны для нужд ФГБОУ ВО Красноярский ГАУ» с извещением № 0319100025423000047 (далее - электронный конкурс), размещенного на электронной площадке АО «Единая электронная торговая площадка»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ООО ЧОО «Тамерлан» (далее - податель жалобы) на действия заказчика при проведении электронного конкурса.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электронного конкурса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была подана в Красноярское УФАС России в срок, установленный частью 4 статьи 105 Закона о контрактной системе, соответствовала требованиям частей 8, 9, 10 статьи 105 указанного закона, в связи с чем была принята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адреса подателя жалобы, заказчика,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было предложено предоставить в адрес Красноярского УФАС России документы 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541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сведения, необходимые для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по рассмотрению жалобы по существу приняли личное участие представители заказчика и подателя жалобы, надлежащим образом подтвердившие свои личности и полномочия.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содержания жалобы следует, что, по мнению подателя жалобы, заказчиком в извещении о проведении электронного конкурса неправомерно не установлено требование о наличии у частных охранников медицинских книжек, а также документа, подтверждающего прохождение профессиональной переподготовки. В ходе проведения заседания Комиссии по рассмотрению жалобы по существу представитель подателя жалобы уточнил, что, по его мнению, указанные требования подлежали установлению в отношении участника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были представлены письменные возражения на доводы жалобы, из которых следует, что извещение о проведении электронного конкурса составлено в соответствии с действующим законодательством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конкурса на оказание услуг частной охраны для нужд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Электронный конкурс начинается с размещения в единой информационной системе извещения об осуществлении закупки (часть 1 статьи 48 Закона о контрактной системе).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подпункта «н» пункта 1 части 1 статьи 43 Закона о контрактной системе для участия в конкурентном способе заявка на участие в закупке должна содержать информацию и документы об участнике закупки, в том числе, документы, подтверждающие соответствие участника закупки требованиям, установленным пунктом 1 части 1 статьи 31 Закона о контрактной системе,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Закона о контрактной системе, если иное не предусмотрено Законом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48 Закона о контрактной системе определено, что заявка на участие в закупке состоит из трех частей, при этом вторая часть такой заявки должна содержать информацию и документы, предусмотренные подпунктами «м» - «р» пункта 1, подпунктом «в» пункта 2, пунктом 5 части 1 статьи 43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9" w:right="546" w:bottom="597" w:left="1106" w:header="691" w:footer="16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конкурса, сформированных с использованием ЕИС путем заполнения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2024-371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27.01.2022 № 60), а также путем прикрепления электронных документов (часть 2 статьи 42 Закона о контрактной системе, пункт 4 вышеуказанного Положения), Комиссия установила, что к участникам закупки было установлено требование о предоставлении в составе заявки на участие в конкурсе в качестве документа, подтверждающего соответствие участника закупки требованиям, установленным пунктом 1 части 1 статьи 31 Закона о контрактной системе, выписки из реестра лицензий, по форме утвержденной постановлением Правительства Российской Федерации от 29.12.2020 №2343, либо копии действующей лицензии на осуществление частной охранной деятельности, либо для организаций, на которых не распространяется действие Закона РФ от 11.03.1992 № 2487-1 «О частной детективной и охранной деятельности в Российской Федерации» (далее — Закон № 2487-1) и Постановления Правительства Российской Федерации от 23.06.2011 №498 - копии иного документа в соответствии, с которым участник закупки имеет право оказывать услуги по охране объектов и имущества: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защита жизни и здоровья граждан; 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части 3 статьи 3 Закона № 2487-1; 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 4) консультирование и подготовка рекомендаций по вопросам правомерной защиты от противоправных посягательств; 5) обеспечение порядка в местах проведения массовых мероприятий; 6) обеспечение внутриобъектового и пропускного режимов на объектах, за исключением объектов, предусмотренных пунктом 7 части 3 статьи 3 Закона № 2487-1; 7)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 № 2487-1.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вышеуказанное требование установлено заказчиком на основании подпункта 32 пункта 1 статьи 12 Федерального закона от 04.05.2011 № 99-ФЗ «О лицензировании отдельных видов деятельности», в соответствии с постановлением Правительства Российской Федерации от 23.06.2011 №498 «О некоторых вопросах осуществления частной детективной (сыскной) и частной охранной деятельности», что не противоречит требованиям законодательства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Рассматривая действия заказчика по неправомерному, по мнению подателя жалобы, неустановлению требования к участникам закупки о наличии у частных охранников медицинских книжек, а также документа, подтверждающего прохождение профессиональной переподготовки, Комиссия учла следующую совокупность обстоятельств.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Действующее законодательство о контрактной системе в сфере закупок, предоставляя в силу статьи 33 Закона о контрактной системе заказчику исключительное право на формирование описания объекта закупки в соответствии с нормативно закрепленными правилами такого описания, не содержит норм, ограничивающих право заказчика включать в извещение о проведении электронного конкурса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всему спектру характеристик приобретаемых услуг.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в описании объекта закупки (пункт 4.3) заказчик сообщил участникам закупки о том, что исполнителю в рамках исполнения контракта необходимо привлекать частных охранников, имеющих удостоверение охранника, квалификационный разряд в соответствии с действующим законодательством РФ, личную карточку охранника и информацию о трудоустройстве у исполнителя.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ходе рассмотрения Комиссией жалобы по существу представитель заказчика пояснил, что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закупки, в том объеме требований (в том числе к частным охранникам исполнителя), в котором оно сформировано в извещении о проведении электронного конкурса, является отражением фактической потребности заказчика, иные требования для заказчика не имеют принципиального значения, однако указанное не свидетельствует о том, что частные охранники не должны иметь медицинские книжки, а также документы, подтверждающие прохождение профессиональной переподготовки, если в силу действующего законодательства Российской Федерации такие документы требуются.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Правовую основу частной охранной деятельности составляет, в том числе Закон № 2487-1 (статья 2 указанного закона).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содержания статьи 11.1 Закона № 2487-1, в которой сформирован правовой статус частного охранника, следует, что право на приобретение правового статуса частного охранника предоставляется гражданам, прошедшим профессиональное обучение для работы в качестве частного охранника и сдавшим квалификационный экзамен, и подтверждается удостоверением частного охранника.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наличие у частного охранника вышеуказанного удостоверения является подтверждением того, что указанное лицо прошло необходимое профессиональное обучение.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установив в извещении о проведении электронного конкурса требование о необходимости исполнителя привлекать при исполнении контракта частных охранников, имеющих, в том числе, удостоверение частного охранника, заказчик фактически установил требование о привлечении к исполнению контракта лиц, прошедших необходимое профессиональное обучение. Следовательно, отсутствие в извещении о проведении электронного конкурса в качестве отдельного требования условия о наличии у частных охранников документа, подтверждающего прохождение профессиональной переподготовки, не свидетельствует о нарушении требований законодательства о контрактной системе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статьи 11.1 Закона № 2487-1 лица, не представившие медицинского заключения об отсутствии медицинских противопоказаний к исполнению обязанностей частного охранника, не вправе претендовать на приобретение правового статуса частного охранника.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последнего абзаца статьи 11.1 Закона № 2487-1 следует, что перечень заболеваний, препятствующих исполнению обязанностей частного охранника, определяется Правительством Российской Федерации. Порядок проведения медицинского освидетельствования на наличие медицинских противопоказаний к исполнению обязанностей частного охранника, включающего в себя химико-токсикологические исследования наличия в организме человека наркотических средств, психотропных веществ и их метаболитов, и форма медицинского заключения об отсутствии медицинских противопоказаний к исполнению обязанностей частного охранника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19.05.2007 № 300 утвержден перечень заболеваний, препятствующих исполнению обязанностей частного охранника, в который включены следующие заболевания: Хронические и затяжные психические расстройства с тяжелыми стойкими или часто обостряющимися болезненными проявлениями, психические расстройства и расстройства поведения, связанные с употреблением психоактивных веществ, острота зрения с коррекцией ниже 0,5 на одном глазу и 0,2 на другом глазу или 0,7 на одном глазу при отсутствии зрения на другом.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Приказом Минздрава России от 26.11.2020 № 1252н утвержден порядок проведения медицинского освидетельствования на наличие медицинских противопоказаний к исполнению обязанностей частного охранника, включающего в себя химико-токсикологические исследования наличия в организме человека наркотических средств, психотропных веществ и их метаболитов, формы медицинского заключения об отсутствии медицинских противопоказаний к исполнению обязанностей частного охранника, формы журнала регистрации выданных медицинских заключений об отсутствии медицинских противопоказаний к исполнению обязанностей частного охранника.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указанного порядка следует, медицинское освидетельствование включает в себя осмотры врачами-специалистами и лабораторные исследования в следующем объеме: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осмотр врачом-офтальмологом;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осмотр врачом-психиатром;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осмотр врачом-психиатром-наркологом;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химико-токсикологические исследования;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лабораторные исследования крови и (или) мочи в целях диагностики употребления алкоголя (при выявлении врачом-психиатром-наркологом симптомов и синдромов заболевания, препятствующего исполнению обязанностей частного охранника).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обеспечение санитарно-эпидемиологического благополучия населения как одного из основных условий реализации конституционных прав граждан на охрану здоровья и благоприятную окружающую среду в Российской Федерации направлен Федеральный закон от 30.03.1999 № 52-ФЗ «О санитарно-эпидемиологическом благополучии населения».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целью реализации норм, установленных указанным Федеральным законом, Федеральной службой по надзору в сфере защиты прав потребителей и благополучия человека был издан приказ от 20.05.2005 № 402 «О личной медицинской книжке и санитарном паспорте» (далее - Приказ № 402).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положений статьи 34 Федерального закона от 30.03.1999 № 52-ФЗ и положений Приказа № 402 следует, что работникам отдельных профессий, производств и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населения, надлежит иметь медицинские книжки, выданные по форме, установленной указанным приказом центрами гигиены и эпидемиологии, в которых отражаются сведения о результатах медицинских обследований.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Приказом Минтруда России от 11.12.2015 № 1010н «Об утверждении профессионального стандарта «Работник по обеспечению охраны образовательных организаций» утвержден профессиональный стандарт работника по обеспечению охраны образовательных организаций (далее — Стандарт).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положения Стандарта, Комиссия установила, что такой стандарт подлежит применению в деятельности частных охранных служб при оказании услуг охраны образовательных организаций. Условием допуска сотрудника охраны к работе является наличие у него личной медицинской книжки.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Совокупность норм, закрепленных Главой 31 Трудового кодекса Российской Федерации, позволила Комиссии установить, что разработка и внедрение профессиональных стандартов относится к сфере трудовых отношений, где ответственность и полномочия по принятию кадровых решений возложена на работодателей, а профессиональный стандарт задает планку требований и ориентиров для принятия таких решений в деятельности того или иного хозяйствующего субъекта.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такое требование Стандарта, являющееся по своему существу условием допуска к работе, проистекающим из сферы трудовых правоотношений, не соотносимо с требованием к участникам закупок, предъявляемым в соответствии с пунктом 1 части 1 статьи 31 Закона о контрактной системе. Таким образом, отсутствие в извещении о проведении электронного конкурса требования к участникам закупки о наличии у частных охранников медицинских книжек не противоречит требованиям законодательства о контрактной системе в сфере закупок. Однако, указанное не свидетельствует о том, что частные охранники, привлеченные к исполнению контракта, не должны иметь медицинские книжки, если в силу действующего законодательства Российской Федерации такие документы требуются.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обстоятельства в совокупности свидетельствуют о недоказанности подателем жалобы наличия в действиях заказчика нарушений требований законодательства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жалобу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общества с ограниченной ответственностью Частная охранная организация «Тамерлан»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12700</wp:posOffset>
                </wp:positionV>
                <wp:extent cx="993775" cy="56388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7.44999999999999pt;margin-top:1.pt;width:78.25pt;height:44.39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16" w:right="538" w:bottom="1157" w:left="1104" w:header="68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0705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76.20000000000005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10022205</wp:posOffset>
              </wp:positionV>
              <wp:extent cx="5607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89.14999999999998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/Relationships>
</file>

<file path=docProps/core.xml><?xml version="1.0" encoding="utf-8"?>
<cp:coreProperties xmlns:cp="http://schemas.openxmlformats.org/package/2006/metadata/core-properties" xmlns:dc="http://purl.org/dc/elements/1.1/">
  <dc:title>"Трудовой кодекс Российской Федерации" от 30.12.2001 N 197-ФЗ(ред. от 25.12.2023)(с изм. и доп., вступ. в силу с 01.01.2024)</dc:title>
  <dc:subject/>
  <dc:creator/>
  <cp:keywords/>
</cp:coreProperties>
</file>