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7.01.2024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ab/>
        <w:t>№</w:t>
        <w:tab/>
        <w:t>1286/24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«СТОЛИЧНЫЙ ФРУКТ»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81@81Ггик1.ги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1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81о1Гп|И1е11с1ег@таП.П1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 Е.О. Мухина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1огдьтикта@тай.ги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290" w:bottom="612" w:left="1140" w:header="0" w:footer="3" w:gutter="0"/>
          <w:pgNumType w:start="1"/>
          <w:cols w:num="2" w:space="106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8" w:right="0" w:bottom="6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077/06/106-611/2024 о нарушении</w:t>
        <w:br/>
        <w:t>законодательства о контрактной системе</w:t>
        <w:br/>
        <w:t>12.01.2024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 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«СТОЛИЧНЫЙ ФРУКТ»: Пашковой Е.В. (по доверенности №11 от 09.01.2024);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 Е.О. Мухина ДЗМ»: Деминой К.И. (по доверенности № б/н от 10.01.2024),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«СТОЛИЧНЫЙ ФРУКТ» (далее — Заявитель) на действия ГБУЗ «ГКБ им Е.О. Мухина ДЗМ» (далее — Заказчик) при проведении открытого конкурса в электронной форме на право заключения контракта на поставку продуктов питания (лот 3-овощи) для нужд ГБУЗ «ГКБ имени Е.О. Мухина ДЗМ» в 2024 г. (Закупка № 0373200113423000408)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11111111111II111111111111III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Заказчика нарушен порядок оценки заявки Заявителя по детализирующему показателю «Характеристика квалификации участников закупки (общая цена исполненных участником закупки договоров)» показателя «Наличие у участников закупки опыта поставки товара, выполнения работы, оказания услуги, связанного с предметом контракта» нестоимостного критерия «Квалификация участников закупки».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предмет жалобы о присвоении результатов оценки по критерию «Квалификация участников закупки» 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проводится проверка действий комиссии Заказчика в части применения установленного в извещении порядка оценки заявок на участие в конкурсе.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ч.2 ст.42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открытого конкурса в электронной форме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согласно извещению об осуществлении закупки Заказчиком установлен, в том числе следующий порядок оценки заявок участников закупок критерию «Квалификация участников закупки», показателя «Наличие у участников закупки опыта поставки товара, выполнения работы, оказания услуги, связанного с предметом контракта», детализирующего показателя «Характеристика квалификации участников закупки (общая цена исполненных участником закупки договоров)».: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Оценивается предложение участника об общей цене исполненных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закупки контрактов (договоров) за последние 5 лет, предшествующие дате окончания срока подачи заявок на участие в настоящем конкурсе (оценивается суммарный объем поставки товаров по исполненным участником закупки контрактам (договорам), связанным с предметом контракта (договора), заключаемого по результатам проведения закупки, исчисляемый в рублях).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поставкой товаров, связанных с предметом контракта, заключаемого по результатам проведения закупки, понимается поставка продуктов питания и (или) оказание услуг по организации питания (в рамках которых проводилась поставка продуктов питания).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участника по поставке товаров, связанных с предметом контракта, подтверждается следующими документами, направленными в форме электронных документов или в форме электронных образов бумажных документов: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(документ о приемке) поставленного товара (в том числе УПД, ТОРГ- 12), подтверждающий цену поставки товаров.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подпункта "в" пункта 28 постановлением Правительства Российской Федерации от 31.12.2021 № 2604, должен быть подписан не ранее чем за 5 лет до даты окончания срока подачи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принимается исключительно исполненный договор(ы), при исполнении которого(-ых)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поставки товаров).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8" w:right="547" w:bottom="652" w:left="1096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еакирк1.дое.ги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работы, связанного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у участника закупки опыта работы, связанного с предметом контракта (договора)» приведена в Приложении к настоящим критериям оценки заявок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заявки на участие в конкурсе 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 в сфере закупок ^акирк). доV. ги.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п.2 ч.10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п.2 ч.10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п.4 ч.1 ст.32 Закона о контрактной системе (если такой критерий установлен извещением об осуществлении закупки);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рассмотрения и оценки вторых частей заявок на участие в открытом конкурсе в электронной форме от 27.12.2023 №ПРОШ при оценке второй части заявки ООО «Столичный фрукт» (Идентификационный номер заявки 1), в том числе, присвоено 13.57 баллов с учетом значимости критерия оценки/Значение по критерию оценки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72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7" w:right="550" w:bottom="658" w:left="1077" w:header="0" w:footer="23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ч.2 ст.48 Закона о контрактной системе заявка на участие в закупке состоит из трех частей, при этом вторая часть должна содержать информацию 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2024-1630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предусмотренные пп.«м» - «р» п.1, пп «в» п.2, п.5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пп.«р» п.1 ч.1 ст.43 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установлено предельное максимальное значение квалификации участника закупки в размере 74 232 122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Заказчика нарушен порядок оценки заявки Заявителя, поскольку в составе заявки представлены сведения об исполнении 312 контрактов, заключенных и исполненных в соответствии с Законом о контрактной системе. Предложение об опыте исполнения первых 10 Контрактов в списке превышает установленное Заказчиком предельное максимальное значение квалификации участника закупки в размере 74 232 122 рублей. Совокупное предложение об опыте: 393 571 207,25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заявке представлено надлежащее подтверждение опыта, превышающее предельное максимальное значение квалификации, что означает, что заявке ООО «СТОЛИЧНЫЙ ФРУКТ» должен быть присвоен максимальный балл.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для выяснения обстоятельств рассматриваемого дела объявлен перерыв в рассмотрении жалобы для предоставления Заказчиком сведений о принятых и не принятых контрактов по опыту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участником ООО «СТОЛИЧНЫЙ ФРУКТ» представлены в составе заявки задублированные контракты, следовательно, проверка достоверности представленных сведений заняла значительное количество времени. В связи с этим по технической ошибке остальные контракты, представленные участником, были пропущены.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отмечает, что комиссией Заказчика учтены сведения из заявки Заявителя в не полном объеме, при этом, неучтенные комиссией Заказчика контракты полностью подтверждают опыт ООО «СТОЛИЧНЫЙ ФРУКТ».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комиссией Заказчика ч.11 ст.48 Закона о контрактной системе при оценке заявки Заявителя не в полном объеме по детализирующему показателю «Характеристика квалификации участников закупки (общая цена исполненных участником закупки договоров)», исходя из сведений заявки и протокола рассмотрения и оценки вторых частей заявок на участие в открытом конкурсе в электронной форме от 27.12.2023 №ПРОШ, что также указывает на признаки нарушения ч.2 ст.7.30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«СТОЛИЧНЫЙ ФРУКТ» на действия комиссии ГБУЗ «ГКБ им Е.О. Мухина ДЗМ»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комиссии Заказчика ч.11 ст.48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8" w:bottom="1162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7.899999999999999pt;margin-top:10.pt;width:145.70000000000002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3200" distB="0" distL="0" distR="1786255" simplePos="0" relativeHeight="125829380" behindDoc="0" locked="0" layoutInCell="1" allowOverlap="1">
            <wp:simplePos x="0" y="0"/>
            <wp:positionH relativeFrom="page">
              <wp:posOffset>3091180</wp:posOffset>
            </wp:positionH>
            <wp:positionV relativeFrom="paragraph">
              <wp:posOffset>203200</wp:posOffset>
            </wp:positionV>
            <wp:extent cx="353695" cy="536575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3548380</wp:posOffset>
                </wp:positionH>
                <wp:positionV relativeFrom="paragraph">
                  <wp:posOffset>602615</wp:posOffset>
                </wp:positionV>
                <wp:extent cx="1283335" cy="1035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9.40000000000003pt;margin-top:47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3505835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6.05000000000001pt;margin-top:22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5874385</wp:posOffset>
                </wp:positionH>
                <wp:positionV relativeFrom="paragraph">
                  <wp:posOffset>127000</wp:posOffset>
                </wp:positionV>
                <wp:extent cx="1313815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62.55000000000001pt;margin-top:10.pt;width:103.45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193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6870" distL="0" distR="0" simplePos="0" relativeHeight="125829383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76200</wp:posOffset>
                </wp:positionV>
                <wp:extent cx="1341120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57.899999999999999pt;margin-top:6.pt;width:105.60000000000001pt;height:19.900000000000002pt;z-index:-125829370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225" distB="0" distL="0" distR="1786255" simplePos="0" relativeHeight="125829385" behindDoc="0" locked="0" layoutInCell="1" allowOverlap="1">
            <wp:simplePos x="0" y="0"/>
            <wp:positionH relativeFrom="page">
              <wp:posOffset>3091180</wp:posOffset>
            </wp:positionH>
            <wp:positionV relativeFrom="paragraph">
              <wp:posOffset>149225</wp:posOffset>
            </wp:positionV>
            <wp:extent cx="353695" cy="536575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3548380</wp:posOffset>
                </wp:positionH>
                <wp:positionV relativeFrom="paragraph">
                  <wp:posOffset>551815</wp:posOffset>
                </wp:positionV>
                <wp:extent cx="1280160" cy="1035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9.40000000000003pt;margin-top:43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3505835</wp:posOffset>
                </wp:positionH>
                <wp:positionV relativeFrom="paragraph">
                  <wp:posOffset>240665</wp:posOffset>
                </wp:positionV>
                <wp:extent cx="1722120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6.05000000000001pt;margin-top:18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6870" distL="0" distR="0" simplePos="0" relativeHeight="125829386" behindDoc="0" locked="0" layoutInCell="1" allowOverlap="1">
                <wp:simplePos x="0" y="0"/>
                <wp:positionH relativeFrom="page">
                  <wp:posOffset>5959475</wp:posOffset>
                </wp:positionH>
                <wp:positionV relativeFrom="paragraph">
                  <wp:posOffset>76200</wp:posOffset>
                </wp:positionV>
                <wp:extent cx="1231265" cy="25273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469.25pt;margin-top:6.pt;width:96.950000000000003pt;height:19.900000000000002pt;z-index:-125829367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М.В. Сорбучева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0018Е970Е55В5023ВСС0395Е903С1035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0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3091180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3548380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9.40000000000003pt;margin-top:36.70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3505835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6.05000000000001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 ЕВ71Е0631А2ЕЕ19РВВ8Е80В4Е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2024-1630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794.7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2024-1630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2024-1630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149999999999999pt;margin-top:794.70000000000005pt;width:50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2024-1630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425450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33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425450</wp:posOffset>
              </wp:positionV>
              <wp:extent cx="6413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15000000000003pt;margin-top:33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Основной текст (5)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