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7.01.2024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1287/24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«СТОЛИЧНЫЙ ФРУКТ»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8Г@81Гп|1&lt;1.ги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81о1Гп|И1е11с1ег@таП.П1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 Е.О. Мухина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1огдьтикта@тай.ги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290" w:bottom="621" w:left="1303" w:header="0" w:footer="3" w:gutter="0"/>
          <w:pgNumType w:start="1"/>
          <w:cols w:num="2" w:space="720" w:equalWidth="0">
            <w:col w:w="3802" w:space="1301"/>
            <w:col w:w="420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077/06/106-611/2024 об устранении нарушении</w:t>
        <w:br/>
        <w:t>законодательства о контрактной системе</w:t>
      </w:r>
    </w:p>
    <w:p>
      <w:pPr>
        <w:pStyle w:val="Style18"/>
        <w:keepNext/>
        <w:keepLines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  <w:tab/>
        <w:t>г. Москва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852" w:val="left"/>
          <w:tab w:pos="6825" w:val="left"/>
          <w:tab w:pos="92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852" w:val="left"/>
          <w:tab w:pos="6825" w:val="left"/>
          <w:tab w:pos="92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по делу № 077/06/106- 611/2024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итогам рассмотрения жалобы ООО «СТОЛИЧНЫЙ ФРУКТ» (далее — Заявитель) на действия ГБУЗ «ГКБ им Е.О. Мухина ДЗМ» (далее — Заказчик) при проведении открытого конкурса в электронной форме на право заключения контракта на поставку продуктов питания (лот 3-овощи) для нужд ГБУЗ «ГКБ имени Е.О. Мухина ДЗМ» в 2024 г. (Закупка № 0373200113423000408) (далее — конкурс, электронный конкурс), в соответствии с Федеральным законом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рассмотрения и оценки вторых частей заявок, Протокол подведения итогов (далее - Протоколы) и назначить новую дату рассмотрения вторых частей заявок на участие в конкурсах. При этом дата рассмотрения вторых частей заявок должна быть назначена не ранее чем через 6 рабочих дней со дня отмены Протоколов.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конкурсе, в том числе Заявителя, об отмене Протоколов, о новой дате рассмотрения вторых частей заявок на участие в конкурсе, а также о необходимости наличия на счетах для проведения операций по обеспечению участия в конкурсах, открытых участникам закупки, денежных средств в размере обеспечения заявки на участие в конкурсах,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конкурсе,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вторые части заявок, поданных участниками закупки, в том числе Заявителем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12.01.2024 по делу №077/06/106-611/2024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12.01.2024 по делу №077/06/106-611/2024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29.02.2024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й)77@Та*.доу.ги.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12.01.2024 по делу № 077/06/106-611/2024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1" w:bottom="659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00000000000003pt;margin-top:10.pt;width:145.70000000000002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2945765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3402965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67.94999999999999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3360420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64.60000000000002pt;margin-top:22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5890260</wp:posOffset>
                </wp:positionH>
                <wp:positionV relativeFrom="paragraph">
                  <wp:posOffset>127000</wp:posOffset>
                </wp:positionV>
                <wp:extent cx="1313815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3.80000000000001pt;margin-top:10.pt;width:103.45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6366183222Е5ОСЕ2САЗЕ6С732820С91С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573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1295" distL="0" distR="0" simplePos="0" relativeHeight="125829383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114300</wp:posOffset>
                </wp:positionV>
                <wp:extent cx="134112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7.700000000000003pt;margin-top:9.pt;width:105.60000000000001pt;height:19.900000000000002pt;z-index:-125829370;mso-wrap-distance-left:0;mso-wrap-distance-top:9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5740" distB="0" distL="0" distR="1804670" simplePos="0" relativeHeight="125829385" behindDoc="0" locked="0" layoutInCell="1" allowOverlap="1">
            <wp:simplePos x="0" y="0"/>
            <wp:positionH relativeFrom="page">
              <wp:posOffset>2966720</wp:posOffset>
            </wp:positionH>
            <wp:positionV relativeFrom="paragraph">
              <wp:posOffset>205740</wp:posOffset>
            </wp:positionV>
            <wp:extent cx="311150" cy="36576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3359785</wp:posOffset>
                </wp:positionH>
                <wp:positionV relativeFrom="paragraph">
                  <wp:posOffset>278765</wp:posOffset>
                </wp:positionV>
                <wp:extent cx="1722120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4.55000000000001pt;margin-top:21.94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1295" distL="0" distR="0" simplePos="0" relativeHeight="125829386" behindDoc="0" locked="0" layoutInCell="1" allowOverlap="1">
                <wp:simplePos x="0" y="0"/>
                <wp:positionH relativeFrom="page">
                  <wp:posOffset>5972175</wp:posOffset>
                </wp:positionH>
                <wp:positionV relativeFrom="paragraph">
                  <wp:posOffset>114300</wp:posOffset>
                </wp:positionV>
                <wp:extent cx="1231265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70.25pt;margin-top:9.pt;width:96.950000000000003pt;height:19.900000000000002pt;z-index:-125829367;mso-wrap-distance-left:0;mso-wrap-distance-top:9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М.В. Сорбучева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0Э18Е97ЭЕ55В5023ВСС0395Е903С1035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2967355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3360420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64.60000000000002pt;margin-top:11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>А2ЕЕ19ЕВВ8Е80В4Е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right="0" w:firstLine="0"/>
        <w:jc w:val="left"/>
      </w:pP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10040620</wp:posOffset>
              </wp:positionV>
              <wp:extent cx="6432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2024-1631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90.60000000000002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2024-1631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3690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0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Основной текст (6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100"/>
      <w:ind w:left="4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