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  <w:tab w:pos="2530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6.01.2024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  <w:tab/>
        <w:t>1122/24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«ТБ им. А.Е.Рабухина ДЗМ»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1Ь1@'/с1п1\ЛПО8.П1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«АЛМАЗ»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300" w:bottom="621" w:left="1140" w:header="0" w:footer="3" w:gutter="0"/>
          <w:pgNumType w:start="1"/>
          <w:cols w:num="2" w:space="107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1птаг.ор1@дтай.сот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6" w:after="3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5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18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077/06/106-537/2024 о нарушении</w:t>
        <w:br/>
        <w:t>законодательства о контрактной системе</w:t>
        <w:br/>
        <w:t>11.01.2024</w:t>
        <w:tab/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специалиста-эксперта отдела обжалования государственных закупок Н.А. Узкого,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1-го разряда отдела обжалования государственных закупок А.И. Рахматуллаева,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Э.З. Гугава,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(посредством видеоконференцсвязи) представителей ГБУЗ «ТБ им. А.Е.Рабухина ДЗМ», ООО «АЛМАЗ»,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«АЛМАЗ» (далее — Заявитель) на действия ГБУЗ «ТБ им. А.Е.Рабухина ДЗМ» (далее — Заказчик) при проведении электронного аукциона на право заключения государственного контракта на поставку пакетов для сбора, хранения и транспортировки медицинских отходов класса А,Б для нужд ГБУЗ «ТБ им. А. Е. Рабухина ДЗМ» в 2024 году (Закупка № 0373200018123000260) (далее 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33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закупочной комиссии Заказчика при проведении вышеуказанного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 на неправомерное решение закупочной комиссии Заказчика о признании заявки Заявителя не соответствующей требованиям закупочной документации.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28.12.2023 №ИЭА1 заявка Заявителя признана не соответствующей требованиям закупочной документации на следующем основании: «п.1 ч.12 ст.48 №44-ФЗ - Непредставление информации и документов, предусмотренных извещением об осуществлении закупки в соответствии с Законом №44 ФЗ (за исключением информации и документов, предусмотренных п.2 и 3 ч.6 ст.43 №44 ФЗ), несоответствие таких информации и документов требованиям, установленным в извещении об осуществлении закупки, а именно: в соответствии с инструкцией по заполнению заявки по характеристикам «Ширина», «Длинна», «Толщина одной стенки пакета, мкм»- «Участник закупки указывает в заявке диапазон значений характеристики». Участником для предложенных товаров указаны точные значения для перечисленных характеристик, что не соответствует инструкции по заполнению заявки».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п.1, п.3 ч.2 ст.42 Закона о контрактной системе, извещение об осуществлении закупки должно содержать электронные документы с описанием объекта закупки в соответствии со ст.33 Закона о контрактной системе, с требованиями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2822" w:val="left"/>
        </w:tabs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</w:t>
        <w:tab/>
        <w:t>ст.33 Закона о контрактной системе документация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закупке в соответствии с требованиями, указанными в ч.1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37" w:bottom="526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Комиссией Управления установлено, что Заказчиком в составе структурированной формы описания объекта закупочной процедуры установлены требования к поставляемым товарам, например, по п. «Пакет для сбора, хранения и транспортировки медицинских отходов»: «Ширина: &gt; 500 и &lt; 600 мм», «Длина: &gt; 600 и &lt; 800 мм», «Толщина одной стенки пакета, мкм.: &gt; 15 и &lt; 18», а также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2024-1396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представлена инструкция по заполнению вышеуказанных параметров: «Участник закупки указывает в заявке диапазон значений характеристики».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 43 Закона о контрактной системе предложение по критериям, предусмотренным п. 2 и (или) 3 ч. 1 ст. 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Заявитель подав заявку на участие в аукционе согласился поставить товар на условиях извещения об осуществлении закупки, при этом вопреки положениям инструкции по заполнению заявки для товара по п. «Пакет для сбора, хранения и транспортировки медицинских отходов» участником представлены следующие значение «Ширина: 500 мм», «Длина: 600 мм», «Толщина одной стенки пакета, мкм.: 15», что напрямую противоречит вышеуказанному требованию о представлении диапазонного значения.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ч.5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 49 Закона о контрактной системе, и принимают решение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1-8 ч. 12 ст. 48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1-8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4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Комиссия Управления приходит к выводу, что у закупочной комиссии Заказчика имелись основания для признания заявки Заявителя не соответствующей требованиям извещения и положениям Закона о контрактной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системе, ввиду чего решение закупочной комиссии Заказчика в части отклонения заявки Заявителя является правомерным.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 ходе проведения внеплановой проверки Комиссией Управления установлено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неправомерно установлены требования о представлении сведений по показателям «Ширина», «Длина», «Толщина одной стенки пакета» в диапазонных значениях, поскольку фактические такие показатели имеют конкретные величины. Так, например, толщина одной стенки пакета имеет фиксированное значение и не может быть уменьшено или увеличено в рамках заданного диапазона. Ввиду чего, установление Заказчиком требований подобным образом приводит к ограничению количества участников закупочной процедуры, ввиду невозможности поставки товаров с диапазонными характеристиками.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наличии вышеуказанного ограничения свидетельствует протокол подведения итогов определения поставщика (подрядчика, исполнителя) от 28.12.2023 №ИЭА1 согласно которому все заявки признаны несоответствующими требованиям извещения о проведении закупочной процедуры ввиду представления конкретных значений показателей «Ширина», «Длина», «Толщина одной стенки пакета».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нарушении Заказчиком положений п.1 ч.1 ст.33, п.1 ч.2 ст.42 Закона о контрактной системе, ввиду чего в действиях Заказчика усматриваются признаки состава административного правонарушения, ответственность за которое предусмотрена частью 1.4 статьи 7.30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1248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30" w:val="left"/>
        </w:tabs>
        <w:bidi w:val="0"/>
        <w:spacing w:before="0" w:after="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«АЛМАЗ» на действия комиссии по осуществлению закупок ГБУЗ «ТБ им. А.Е.Рабухина ДЗМ»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30" w:val="left"/>
        </w:tabs>
        <w:bidi w:val="0"/>
        <w:spacing w:before="0" w:after="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положений п.1 ч.1 ст.33, п.1 ч.2 ст.42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30" w:val="left"/>
        </w:tabs>
        <w:bidi w:val="0"/>
        <w:spacing w:before="0" w:after="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30" w:val="left"/>
        </w:tabs>
        <w:bidi w:val="0"/>
        <w:spacing w:before="0" w:after="28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142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87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950000000000003pt;margin-top:26.pt;width:145.70000000000002pt;height:19.900000000000002pt;z-index:-125829375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030" distB="0" distL="0" distR="1789430" simplePos="0" relativeHeight="125829380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367030</wp:posOffset>
            </wp:positionV>
            <wp:extent cx="389890" cy="57277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805815</wp:posOffset>
                </wp:positionV>
                <wp:extent cx="1280160" cy="1035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1.15000000000003pt;margin-top:63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495300</wp:posOffset>
                </wp:positionV>
                <wp:extent cx="1725295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55000000000001pt;margin-top:39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870" distL="0" distR="0" simplePos="0" relativeHeight="125829381" behindDoc="0" locked="0" layoutInCell="1" allowOverlap="1">
                <wp:simplePos x="0" y="0"/>
                <wp:positionH relativeFrom="page">
                  <wp:posOffset>6337935</wp:posOffset>
                </wp:positionH>
                <wp:positionV relativeFrom="paragraph">
                  <wp:posOffset>330200</wp:posOffset>
                </wp:positionV>
                <wp:extent cx="880745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99.05000000000001pt;margin-top:26.pt;width:69.350000000000009pt;height:19.900000000000002pt;z-index:-125829372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С3030775Е8423Е1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center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1.10000000000002pt;margin-top:36.30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5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>11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>ВЗВВ45854ОЕВ6С993Е00602С0ЕВЕЕС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07.09.2023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>по 30.11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>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21510" simplePos="0" relativeHeight="125829384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55000000000001pt;margin-top:11.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520" w:right="0" w:firstLine="0"/>
        <w:jc w:val="left"/>
      </w:pPr>
      <w:r>
        <w:rPr>
          <w:b/>
          <w:bCs/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6281 Е5АЕВ0О2ОВЕ2АСВСЕ65248493Е7С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0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13.04.2023 по 06.07.2024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2024-1396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2024-1396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64897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2024-1396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00000000000003pt;margin-top:794.70000000000005pt;width:51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2024-1396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05000000000001pt;margin-top:16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19999999999999pt;margin-top:37.5pt;width:5.0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