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footer1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1020" w:right="0" w:firstLine="0"/>
        <w:jc w:val="left"/>
      </w:pPr>
      <w:r>
        <mc:AlternateContent>
          <mc:Choice Requires="wps">
            <w:drawing>
              <wp:anchor distT="0" distB="0" distL="114300" distR="114300" simplePos="0" relativeHeight="125829378" behindDoc="0" locked="0" layoutInCell="1" allowOverlap="1">
                <wp:simplePos x="0" y="0"/>
                <wp:positionH relativeFrom="page">
                  <wp:posOffset>721995</wp:posOffset>
                </wp:positionH>
                <wp:positionV relativeFrom="paragraph">
                  <wp:posOffset>127000</wp:posOffset>
                </wp:positionV>
                <wp:extent cx="2593975" cy="2084705"/>
                <wp:wrapSquare wrapText="right"/>
                <wp:docPr id="1" name="Shape 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593975" cy="20847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120" w:line="276" w:lineRule="auto"/>
                              <w:ind w:left="0" w:right="0" w:firstLine="0"/>
                              <w:jc w:val="center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color w:val="4561A2"/>
                                <w:spacing w:val="0"/>
                                <w:w w:val="100"/>
                                <w:position w:val="0"/>
                                <w:sz w:val="18"/>
                                <w:szCs w:val="18"/>
                                <w:shd w:val="clear" w:color="auto" w:fill="auto"/>
                                <w:lang w:val="ru-RU" w:eastAsia="ru-RU" w:bidi="ru-RU"/>
                              </w:rPr>
                              <w:t>ФЕДЕРАЛЬНАЯ</w:t>
                              <w:br/>
                              <w:t>АНТИМОНОПОЛЬНАЯ СЛУЖБА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200" w:line="240" w:lineRule="auto"/>
                              <w:ind w:left="0" w:right="0" w:firstLine="0"/>
                              <w:jc w:val="center"/>
                              <w:rPr>
                                <w:sz w:val="19"/>
                                <w:szCs w:val="19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4561A2"/>
                                <w:spacing w:val="0"/>
                                <w:w w:val="100"/>
                                <w:position w:val="0"/>
                                <w:sz w:val="19"/>
                                <w:szCs w:val="19"/>
                                <w:shd w:val="clear" w:color="auto" w:fill="auto"/>
                                <w:lang w:val="ru-RU" w:eastAsia="ru-RU" w:bidi="ru-RU"/>
                              </w:rPr>
                              <w:t>УПРАВЛЕНИЕ</w:t>
                              <w:br/>
                              <w:t>Федеральной антимонопольной службы</w:t>
                              <w:br/>
                              <w:t>по Ростовской области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76" w:lineRule="auto"/>
                              <w:ind w:left="0" w:right="0" w:firstLine="0"/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color w:val="4561A2"/>
                                <w:spacing w:val="0"/>
                                <w:w w:val="100"/>
                                <w:position w:val="0"/>
                                <w:sz w:val="16"/>
                                <w:szCs w:val="16"/>
                                <w:shd w:val="clear" w:color="auto" w:fill="auto"/>
                                <w:lang w:val="ru-RU" w:eastAsia="ru-RU" w:bidi="ru-RU"/>
                              </w:rPr>
                              <w:t>пр. Ворошиловский, 2/2, офис 403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76" w:lineRule="auto"/>
                              <w:ind w:left="0" w:right="0" w:firstLine="0"/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color w:val="4561A2"/>
                                <w:spacing w:val="0"/>
                                <w:w w:val="100"/>
                                <w:position w:val="0"/>
                                <w:sz w:val="16"/>
                                <w:szCs w:val="16"/>
                                <w:shd w:val="clear" w:color="auto" w:fill="auto"/>
                                <w:lang w:val="ru-RU" w:eastAsia="ru-RU" w:bidi="ru-RU"/>
                              </w:rPr>
                              <w:t>г. Ростов-на-Дону, 344006</w:t>
                              <w:br/>
                              <w:t>тел. (863) 263-31-04, факс (863) 240-99-59</w:t>
                              <w:br/>
                              <w:t>е-тай: 1о61@Га8.§оу.гп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tabs>
                                <w:tab w:pos="1814" w:val="left"/>
                              </w:tabs>
                              <w:bidi w:val="0"/>
                              <w:spacing w:before="0" w:after="320" w:line="240" w:lineRule="auto"/>
                              <w:ind w:left="0" w:right="0" w:firstLine="0"/>
                              <w:jc w:val="center"/>
                              <w:rPr>
                                <w:sz w:val="30"/>
                                <w:szCs w:val="30"/>
                              </w:rPr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30"/>
                                <w:szCs w:val="30"/>
                                <w:u w:val="single"/>
                                <w:shd w:val="clear" w:color="auto" w:fill="auto"/>
                                <w:lang w:val="ru-RU" w:eastAsia="ru-RU" w:bidi="ru-RU"/>
                              </w:rPr>
                              <w:t>1</w:t>
                            </w:r>
                            <w:r>
                              <w:fldChar w:fldCharType="begin"/>
                            </w:r>
                            <w:r>
                              <w:rPr/>
                              <w:instrText> HYPERLINK "file://f207ca94-a13c-4ba0-b72d-f018c9eed8f1/" </w:instrText>
                            </w:r>
                            <w:r>
                              <w:fldChar w:fldCharType="separate"/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30"/>
                                <w:szCs w:val="30"/>
                                <w:u w:val="single"/>
                                <w:shd w:val="clear" w:color="auto" w:fill="auto"/>
                                <w:lang w:val="ru-RU" w:eastAsia="ru-RU" w:bidi="ru-RU"/>
                              </w:rPr>
                              <w:t>5.01.2024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30"/>
                                <w:szCs w:val="30"/>
                                <w:shd w:val="clear" w:color="auto" w:fill="auto"/>
                                <w:lang w:val="ru-RU" w:eastAsia="ru-RU" w:bidi="ru-RU"/>
                              </w:rPr>
                              <w:tab/>
                            </w:r>
                            <w:r>
                              <w:fldChar w:fldCharType="end"/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30"/>
                                <w:szCs w:val="30"/>
                                <w:shd w:val="clear" w:color="auto" w:fill="auto"/>
                                <w:lang w:val="ru-RU" w:eastAsia="ru-RU" w:bidi="ru-RU"/>
                              </w:rPr>
                              <w:t>№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30"/>
                                <w:szCs w:val="30"/>
                                <w:u w:val="single"/>
                                <w:shd w:val="clear" w:color="auto" w:fill="auto"/>
                                <w:lang w:val="ru-RU" w:eastAsia="ru-RU" w:bidi="ru-RU"/>
                              </w:rPr>
                              <w:t xml:space="preserve"> МБ/332/24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160" w:line="240" w:lineRule="auto"/>
                              <w:ind w:left="0" w:right="0" w:firstLine="0"/>
                              <w:jc w:val="center"/>
                              <w:rPr>
                                <w:sz w:val="19"/>
                                <w:szCs w:val="19"/>
                              </w:rPr>
                            </w:pPr>
                            <w:r>
                              <w:rPr>
                                <w:color w:val="4561A2"/>
                                <w:spacing w:val="0"/>
                                <w:w w:val="100"/>
                                <w:position w:val="0"/>
                                <w:sz w:val="19"/>
                                <w:szCs w:val="19"/>
                                <w:shd w:val="clear" w:color="auto" w:fill="auto"/>
                                <w:lang w:val="ru-RU" w:eastAsia="ru-RU" w:bidi="ru-RU"/>
                              </w:rPr>
                              <w:t xml:space="preserve">На№  от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1027" type="#_x0000_t202" style="position:absolute;margin-left:56.850000000000001pt;margin-top:10.pt;width:204.25pt;height:164.15000000000001pt;z-index:-125829375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120" w:line="276" w:lineRule="auto"/>
                        <w:ind w:left="0" w:right="0" w:firstLine="0"/>
                        <w:jc w:val="center"/>
                        <w:rPr>
                          <w:sz w:val="18"/>
                          <w:szCs w:val="18"/>
                        </w:rPr>
                      </w:pPr>
                      <w:r>
                        <w:rPr>
                          <w:color w:val="4561A2"/>
                          <w:spacing w:val="0"/>
                          <w:w w:val="100"/>
                          <w:position w:val="0"/>
                          <w:sz w:val="18"/>
                          <w:szCs w:val="18"/>
                          <w:shd w:val="clear" w:color="auto" w:fill="auto"/>
                          <w:lang w:val="ru-RU" w:eastAsia="ru-RU" w:bidi="ru-RU"/>
                        </w:rPr>
                        <w:t>ФЕДЕРАЛЬНАЯ</w:t>
                        <w:br/>
                        <w:t>АНТИМОНОПОЛЬНАЯ СЛУЖБА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200" w:line="240" w:lineRule="auto"/>
                        <w:ind w:left="0" w:right="0" w:firstLine="0"/>
                        <w:jc w:val="center"/>
                        <w:rPr>
                          <w:sz w:val="19"/>
                          <w:szCs w:val="19"/>
                        </w:rPr>
                      </w:pPr>
                      <w:r>
                        <w:rPr>
                          <w:b/>
                          <w:bCs/>
                          <w:color w:val="4561A2"/>
                          <w:spacing w:val="0"/>
                          <w:w w:val="100"/>
                          <w:position w:val="0"/>
                          <w:sz w:val="19"/>
                          <w:szCs w:val="19"/>
                          <w:shd w:val="clear" w:color="auto" w:fill="auto"/>
                          <w:lang w:val="ru-RU" w:eastAsia="ru-RU" w:bidi="ru-RU"/>
                        </w:rPr>
                        <w:t>УПРАВЛЕНИЕ</w:t>
                        <w:br/>
                        <w:t>Федеральной антимонопольной службы</w:t>
                        <w:br/>
                        <w:t>по Ростовской области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76" w:lineRule="auto"/>
                        <w:ind w:left="0" w:right="0" w:firstLine="0"/>
                        <w:jc w:val="center"/>
                        <w:rPr>
                          <w:sz w:val="16"/>
                          <w:szCs w:val="16"/>
                        </w:rPr>
                      </w:pPr>
                      <w:r>
                        <w:rPr>
                          <w:color w:val="4561A2"/>
                          <w:spacing w:val="0"/>
                          <w:w w:val="100"/>
                          <w:position w:val="0"/>
                          <w:sz w:val="16"/>
                          <w:szCs w:val="16"/>
                          <w:shd w:val="clear" w:color="auto" w:fill="auto"/>
                          <w:lang w:val="ru-RU" w:eastAsia="ru-RU" w:bidi="ru-RU"/>
                        </w:rPr>
                        <w:t>пр. Ворошиловский, 2/2, офис 403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76" w:lineRule="auto"/>
                        <w:ind w:left="0" w:right="0" w:firstLine="0"/>
                        <w:jc w:val="center"/>
                        <w:rPr>
                          <w:sz w:val="16"/>
                          <w:szCs w:val="16"/>
                        </w:rPr>
                      </w:pPr>
                      <w:r>
                        <w:rPr>
                          <w:color w:val="4561A2"/>
                          <w:spacing w:val="0"/>
                          <w:w w:val="100"/>
                          <w:position w:val="0"/>
                          <w:sz w:val="16"/>
                          <w:szCs w:val="16"/>
                          <w:shd w:val="clear" w:color="auto" w:fill="auto"/>
                          <w:lang w:val="ru-RU" w:eastAsia="ru-RU" w:bidi="ru-RU"/>
                        </w:rPr>
                        <w:t>г. Ростов-на-Дону, 344006</w:t>
                        <w:br/>
                        <w:t>тел. (863) 263-31-04, факс (863) 240-99-59</w:t>
                        <w:br/>
                        <w:t>е-тай: 1о61@Га8.§оу.гп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tabs>
                          <w:tab w:pos="1814" w:val="left"/>
                        </w:tabs>
                        <w:bidi w:val="0"/>
                        <w:spacing w:before="0" w:after="320" w:line="240" w:lineRule="auto"/>
                        <w:ind w:left="0" w:right="0" w:firstLine="0"/>
                        <w:jc w:val="center"/>
                        <w:rPr>
                          <w:sz w:val="30"/>
                          <w:szCs w:val="30"/>
                        </w:rPr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30"/>
                          <w:szCs w:val="30"/>
                          <w:u w:val="single"/>
                          <w:shd w:val="clear" w:color="auto" w:fill="auto"/>
                          <w:lang w:val="ru-RU" w:eastAsia="ru-RU" w:bidi="ru-RU"/>
                        </w:rPr>
                        <w:t>1</w:t>
                      </w:r>
                      <w:r>
                        <w:fldChar w:fldCharType="begin"/>
                      </w:r>
                      <w:r>
                        <w:rPr/>
                        <w:instrText> HYPERLINK "file://f207ca94-a13c-4ba0-b72d-f018c9eed8f1/" </w:instrText>
                      </w:r>
                      <w:r>
                        <w:fldChar w:fldCharType="separate"/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30"/>
                          <w:szCs w:val="30"/>
                          <w:u w:val="single"/>
                          <w:shd w:val="clear" w:color="auto" w:fill="auto"/>
                          <w:lang w:val="ru-RU" w:eastAsia="ru-RU" w:bidi="ru-RU"/>
                        </w:rPr>
                        <w:t>5.01.2024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30"/>
                          <w:szCs w:val="30"/>
                          <w:shd w:val="clear" w:color="auto" w:fill="auto"/>
                          <w:lang w:val="ru-RU" w:eastAsia="ru-RU" w:bidi="ru-RU"/>
                        </w:rPr>
                        <w:tab/>
                      </w:r>
                      <w:r>
                        <w:fldChar w:fldCharType="end"/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30"/>
                          <w:szCs w:val="30"/>
                          <w:shd w:val="clear" w:color="auto" w:fill="auto"/>
                          <w:lang w:val="ru-RU" w:eastAsia="ru-RU" w:bidi="ru-RU"/>
                        </w:rPr>
                        <w:t>№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30"/>
                          <w:szCs w:val="30"/>
                          <w:u w:val="single"/>
                          <w:shd w:val="clear" w:color="auto" w:fill="auto"/>
                          <w:lang w:val="ru-RU" w:eastAsia="ru-RU" w:bidi="ru-RU"/>
                        </w:rPr>
                        <w:t xml:space="preserve"> МБ/332/24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160" w:line="240" w:lineRule="auto"/>
                        <w:ind w:left="0" w:right="0" w:firstLine="0"/>
                        <w:jc w:val="center"/>
                        <w:rPr>
                          <w:sz w:val="19"/>
                          <w:szCs w:val="19"/>
                        </w:rPr>
                      </w:pPr>
                      <w:r>
                        <w:rPr>
                          <w:color w:val="4561A2"/>
                          <w:spacing w:val="0"/>
                          <w:w w:val="100"/>
                          <w:position w:val="0"/>
                          <w:sz w:val="19"/>
                          <w:szCs w:val="19"/>
                          <w:shd w:val="clear" w:color="auto" w:fill="auto"/>
                          <w:lang w:val="ru-RU" w:eastAsia="ru-RU" w:bidi="ru-RU"/>
                        </w:rPr>
                        <w:t xml:space="preserve">На№  от</w:t>
                      </w:r>
                    </w:p>
                  </w:txbxContent>
                </v:textbox>
                <w10:wrap type="square" side="right" anchorx="page"/>
              </v:shape>
            </w:pict>
          </mc:Fallback>
        </mc:AlternateContent>
      </w:r>
      <w:r>
        <w:rPr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Общество с ограниченной ответственностью «АПгрейт»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1020" w:right="0" w:firstLine="0"/>
        <w:jc w:val="left"/>
      </w:pPr>
      <w:r>
        <w:rPr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(далее - Заявитель-1)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102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ул. Станиславского, 167/25, оф. 602, г. Ростов-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102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на-Дону, 344022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102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ЕтаП: а8с1456\\ъ\96@уапс1е\.ги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102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Телефон: +7(928)6077710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1020" w:right="0" w:firstLine="0"/>
        <w:jc w:val="left"/>
      </w:pPr>
      <w:r>
        <w:rPr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Общество с ограниченной ответственностью «Ренессанс-Мед»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1020" w:right="0" w:firstLine="0"/>
        <w:jc w:val="left"/>
      </w:pPr>
      <w:r>
        <w:rPr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(далее - Заявитель-2)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102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ул. 1-я Измайловского Зверинца, 8, пом. 1/1, МО Измайлово, г. Москва, 105187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532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ЕтаП: тГо.гепе88ап8-тед@уапдех.ш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532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Телефон: 7 9094429330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5320" w:right="0" w:firstLine="0"/>
        <w:jc w:val="left"/>
      </w:pPr>
      <w:r>
        <w:rPr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Государственное бюджетное учреждение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5320" w:right="0" w:firstLine="0"/>
        <w:jc w:val="left"/>
      </w:pPr>
      <w:r>
        <w:rPr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Ростовской области «Городская поликлиника №1» в г. Ростове-на-Дону (далее - Заказчик)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532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ул. Сержантова, 3, г. Ростов-на-Дону, 344029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532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ЕтаП: хакирИ@дро11доп.ш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532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Телефон: 7-863-2851035-601</w:t>
      </w:r>
    </w:p>
    <w:p>
      <w:pPr>
        <w:pStyle w:val="Style20"/>
        <w:keepNext/>
        <w:keepLines/>
        <w:widowControl w:val="0"/>
        <w:shd w:val="clear" w:color="auto" w:fill="auto"/>
        <w:bidi w:val="0"/>
        <w:spacing w:before="0" w:after="0" w:line="240" w:lineRule="auto"/>
        <w:ind w:left="5320" w:right="0" w:firstLine="0"/>
        <w:jc w:val="left"/>
      </w:pPr>
      <w:bookmarkStart w:id="0" w:name="bookmark0"/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ООО «РТС-тендер» (далее - Оператор электронной площадки)</w:t>
      </w:r>
      <w:bookmarkEnd w:id="0"/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532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ко@118-1епдег.ш</w:t>
      </w:r>
    </w:p>
    <w:p>
      <w:pPr>
        <w:pStyle w:val="Style20"/>
        <w:keepNext/>
        <w:keepLines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bookmarkStart w:id="2" w:name="bookmark2"/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РЕШЕНИЕ</w:t>
        <w:br/>
        <w:t>по результатам рассмотрения дел</w:t>
      </w:r>
      <w:bookmarkEnd w:id="2"/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7040" w:right="0" w:firstLine="0"/>
        <w:jc w:val="left"/>
      </w:pPr>
      <w:r>
        <mc:AlternateContent>
          <mc:Choice Requires="wps">
            <w:drawing>
              <wp:anchor distT="0" distB="0" distL="114300" distR="114300" simplePos="0" relativeHeight="125829380" behindDoc="0" locked="0" layoutInCell="1" allowOverlap="1">
                <wp:simplePos x="0" y="0"/>
                <wp:positionH relativeFrom="page">
                  <wp:posOffset>718820</wp:posOffset>
                </wp:positionH>
                <wp:positionV relativeFrom="paragraph">
                  <wp:posOffset>25400</wp:posOffset>
                </wp:positionV>
                <wp:extent cx="692150" cy="216535"/>
                <wp:wrapSquare wrapText="right"/>
                <wp:docPr id="3" name="Shape 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692150" cy="21653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0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24"/>
                                <w:szCs w:val="24"/>
                                <w:shd w:val="clear" w:color="auto" w:fill="auto"/>
                                <w:lang w:val="ru-RU" w:eastAsia="ru-RU" w:bidi="ru-RU"/>
                              </w:rPr>
                              <w:t>11.01.2023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9" type="#_x0000_t202" style="position:absolute;margin-left:56.600000000000001pt;margin-top:2.pt;width:54.5pt;height:17.050000000000001pt;z-index:-125829373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10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24"/>
                          <w:szCs w:val="24"/>
                          <w:shd w:val="clear" w:color="auto" w:fill="auto"/>
                          <w:lang w:val="ru-RU" w:eastAsia="ru-RU" w:bidi="ru-RU"/>
                        </w:rPr>
                        <w:t>11.01.2023</w:t>
                      </w:r>
                    </w:p>
                  </w:txbxContent>
                </v:textbox>
                <w10:wrap type="square" side="right" anchorx="page"/>
              </v:shape>
            </w:pict>
          </mc:Fallback>
        </mc:AlternateConten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г. Ростов-на-Дону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0" w:right="0" w:firstLine="720"/>
        <w:jc w:val="both"/>
      </w:pPr>
      <w:r>
        <mc:AlternateContent>
          <mc:Choice Requires="wps">
            <w:drawing>
              <wp:anchor distT="0" distB="0" distL="114300" distR="114300" simplePos="0" relativeHeight="125829382" behindDoc="0" locked="0" layoutInCell="1" allowOverlap="1">
                <wp:simplePos x="0" y="0"/>
                <wp:positionH relativeFrom="page">
                  <wp:posOffset>706755</wp:posOffset>
                </wp:positionH>
                <wp:positionV relativeFrom="paragraph">
                  <wp:posOffset>685800</wp:posOffset>
                </wp:positionV>
                <wp:extent cx="1639570" cy="393065"/>
                <wp:wrapSquare wrapText="right"/>
                <wp:docPr id="5" name="Shape 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639570" cy="39306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0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24"/>
                                <w:szCs w:val="24"/>
                                <w:shd w:val="clear" w:color="auto" w:fill="auto"/>
                                <w:lang w:val="ru-RU" w:eastAsia="ru-RU" w:bidi="ru-RU"/>
                              </w:rPr>
                              <w:t>Председатель Комиссии:</w:t>
                            </w:r>
                          </w:p>
                          <w:p>
                            <w:pPr>
                              <w:pStyle w:val="Style10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24"/>
                                <w:szCs w:val="24"/>
                                <w:shd w:val="clear" w:color="auto" w:fill="auto"/>
                                <w:lang w:val="ru-RU" w:eastAsia="ru-RU" w:bidi="ru-RU"/>
                              </w:rPr>
                              <w:t>Члены Комиссии: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1" type="#_x0000_t202" style="position:absolute;margin-left:55.649999999999999pt;margin-top:54.pt;width:129.09999999999999pt;height:30.949999999999999pt;z-index:-125829371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10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24"/>
                          <w:szCs w:val="24"/>
                          <w:shd w:val="clear" w:color="auto" w:fill="auto"/>
                          <w:lang w:val="ru-RU" w:eastAsia="ru-RU" w:bidi="ru-RU"/>
                        </w:rPr>
                        <w:t>Председатель Комиссии:</w:t>
                      </w:r>
                    </w:p>
                    <w:p>
                      <w:pPr>
                        <w:pStyle w:val="Style10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24"/>
                          <w:szCs w:val="24"/>
                          <w:shd w:val="clear" w:color="auto" w:fill="auto"/>
                          <w:lang w:val="ru-RU" w:eastAsia="ru-RU" w:bidi="ru-RU"/>
                        </w:rPr>
                        <w:t>Члены Комиссии:</w:t>
                      </w:r>
                    </w:p>
                  </w:txbxContent>
                </v:textbox>
                <w10:wrap type="square" side="right" anchorx="page"/>
              </v:shape>
            </w:pict>
          </mc:Fallback>
        </mc:AlternateConten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Комиссия Управления Федеральной антимонопольной службы по Ростовской области (далее - Ростовское УФАС России, Комиссия) по контролю соблюдения законодательства в сфере закупок в составе: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5580" w:right="0" w:firstLine="2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М.А. Благодарев, С.А. Евстратова, А.С. Вишнякова,</w:t>
      </w:r>
    </w:p>
    <w:p>
      <w:pPr>
        <w:pStyle w:val="Style10"/>
        <w:keepNext w:val="0"/>
        <w:keepLines w:val="0"/>
        <w:widowControl w:val="0"/>
        <w:shd w:val="clear" w:color="auto" w:fill="auto"/>
        <w:tabs>
          <w:tab w:pos="1848" w:val="left"/>
        </w:tabs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рассмотрев дела №061/06/42-7/2024, №061/06/42-8/2024 по жалобам Заявителей о нарушении Заказчиком при проведении электронного аукциона №0358300395223000089 «Закупка медицинского оборудования (Эндоскопическая система (видео-, фибро- или ригидная), включающая:</w:t>
        <w:tab/>
        <w:t>осветитель, инсуффлятор, электроотсасыватель, тележка (стойка);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течеискатель/Система эндоскопической визуализации), в рамках реализации регионального проекта «Модернизация первичного звена здравоохранения» государственной программы Ростовской области «Развитие здравоохранения» в целях обеспечения нужд ГБУ РО «ГП № 1» в г. Ростове-на-Дону в 2024 году» (далее - аукцион) норм Федерального закона от 05.04.2013 №44-ФЗ «О контрактной системе в сфере закупок товаров, работ, услуг для обеспечения государственных и муниципальных нужд» (далее - Закон), путем использования системы видеоконференц-связи (ВКС) при участии представителя Заявителя-1 - Барабанова Д.А. (доверенность от 09.01.2024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22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№б/н), представителя Заявителя-2 - Леоновой М.М. (доверенность от 15.03.2023 №б/н), представителя Заказчика - Юрченко М.О. (доверенность от 11.01.2024 №1),</w:t>
      </w:r>
    </w:p>
    <w:p>
      <w:pPr>
        <w:pStyle w:val="Style20"/>
        <w:keepNext/>
        <w:keepLines/>
        <w:widowControl w:val="0"/>
        <w:shd w:val="clear" w:color="auto" w:fill="auto"/>
        <w:bidi w:val="0"/>
        <w:spacing w:before="0" w:after="220" w:line="240" w:lineRule="auto"/>
        <w:ind w:left="0" w:right="0" w:firstLine="0"/>
        <w:jc w:val="center"/>
      </w:pPr>
      <w:bookmarkStart w:id="4" w:name="bookmark4"/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УСТАНОВИЛА:</w:t>
      </w:r>
      <w:bookmarkEnd w:id="4"/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В Ростовское УФАС России поступили жалобы Заявителей на действия государственного бюджетного учреждения Ростовской области «Городская поликлиника №1» в г. Ростове-на-Дону при разработке извещения к электронному аукциону.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Заказчик в возражениях на жалобу (от 11.01.2024 №1):</w:t>
      </w:r>
    </w:p>
    <w:p>
      <w:pPr>
        <w:pStyle w:val="Style10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994" w:val="left"/>
        </w:tabs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отрицал нарушения Закона в действиях Заказчика;</w:t>
      </w:r>
    </w:p>
    <w:p>
      <w:pPr>
        <w:pStyle w:val="Style10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994" w:val="left"/>
        </w:tabs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указал причины формирования спорных положений описания объекта закупки;</w:t>
      </w:r>
    </w:p>
    <w:p>
      <w:pPr>
        <w:pStyle w:val="Style10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994" w:val="left"/>
        </w:tabs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представил пояснения по доводу жалобы.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22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В соответствии с ч.ч.1,3 ст.99 Закона, в ходе рассмотрения дела установлено следующее.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 xml:space="preserve">Заказчиком в Единой информационной системе (ЕИС) на официальном сайте </w:t>
      </w:r>
      <w:r>
        <w:fldChar w:fldCharType="begin"/>
      </w:r>
      <w:r>
        <w:rPr/>
        <w:instrText> HYPERLINK "http://www.zakupki.gov.ru/" </w:instrText>
      </w:r>
      <w:r>
        <w:fldChar w:fldCharType="separate"/>
      </w:r>
      <w:r>
        <w:rPr>
          <w:smallCaps/>
          <w:color w:val="000080"/>
          <w:spacing w:val="0"/>
          <w:w w:val="100"/>
          <w:position w:val="0"/>
          <w:sz w:val="24"/>
          <w:szCs w:val="24"/>
          <w:u w:val="single"/>
          <w:shd w:val="clear" w:color="auto" w:fill="auto"/>
          <w:lang w:val="ru-RU" w:eastAsia="ru-RU" w:bidi="ru-RU"/>
        </w:rPr>
        <w:t>\у\у\у.</w:t>
      </w:r>
      <w:r>
        <w:rPr>
          <w:color w:val="000080"/>
          <w:spacing w:val="0"/>
          <w:w w:val="100"/>
          <w:position w:val="0"/>
          <w:sz w:val="24"/>
          <w:szCs w:val="24"/>
          <w:u w:val="single"/>
          <w:shd w:val="clear" w:color="auto" w:fill="auto"/>
          <w:lang w:val="ru-RU" w:eastAsia="ru-RU" w:bidi="ru-RU"/>
        </w:rPr>
        <w:t xml:space="preserve"> хакирк! .доуги</w:t>
      </w:r>
      <w:r>
        <w:rPr>
          <w:color w:val="00008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 xml:space="preserve"> </w:t>
      </w:r>
      <w:r>
        <w:fldChar w:fldCharType="end"/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21.12.2023 размещено извещение о проведении закупки №0358300395223000089; 24.12.2023 в извещение внесены изменения №ИИ1, согласно которым:</w:t>
      </w:r>
    </w:p>
    <w:p>
      <w:pPr>
        <w:pStyle w:val="Style10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994" w:val="left"/>
        </w:tabs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установлены дата и время окончания подачи заявок - 09.01.2024 12:00 (МСК);</w:t>
      </w:r>
    </w:p>
    <w:p>
      <w:pPr>
        <w:pStyle w:val="Style10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994" w:val="left"/>
        </w:tabs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начальная (максимальная) цена контракта (НМЦК) составила 13 840 000,00 рублей.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Данная закупка осуществляется в рамках реализации национального проекта «Здравоохранение».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22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Согласно протоколу подведения итогов определения поставщика (подрядчика, исполнителя) от 10.01.2024 №ИЭА1, на участие в закупке подана 1 заявка, которая признана несоответствующей требованиям извещения о проведении закупки.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1. Как указывают Заявители, определенной Заказчиком совокупности характеристик в нарушение норм Закона соответствует товар единственного производителя Ги§Ш1т.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Согласно п. 1 ч. 2 ст. 42 Закона, извещение об осуществлении закупки, если иное не предусмотрено настоящим Федеральным законом, должно содержать описание объекта закупки в соответствии со статьей 33 настоящего Федерального закона.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Пунктом 1 ч. 1 ст. 33 Закона установлено, что Заказчик в случаях, предусмотренных настоящим Федеральным законом, при описании объекта закупки должен руководствоваться следующим правилом: в описании объекта закупки указываются функциональные, технические и качественные характеристики, эксплуатационные характеристики объекта закупки (при необходимости). В описание объекта закупки не должны включаться требования или указания в отношении товарных знаков, знаков обслуживания, фирменных наименований, патентов, полезных моделей, промышленных образцов, наименование страны происхождения товара, требования к товарам, информации, работам, услугам при условии, что такие требования или указания влекут за собой ограничение количества участников закупки.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В соответствии с ч. 2 ст. 33 Закона описание объекта закупки в соответствии с требованиями, указанными в части 1 настоящей статьи, должно содержать показатели, позволяющие определить соответствие закупаемых товара, работы, услуги установленным заказчиком требованиям. При этом указываются максимальные и (или) минимальные значения таких показателей и (или) значения показателей, которые не могут изменяться.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22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Из совокупного толкования п.1,2 ч.1, ч.2 ст.33 Закона следует, что описание объекта закупки должно носить объективный характер, то есть быть продиктовано истинными (а не мнимыми и недоказанными) потребностями заказчика, а также исключать любую возможность необоснованного ограничения количества потенциальных участников закупки установлением в извещении о проведении закупки заведомо неисполнимых требований либо требований, удовлетворить которые может лишь ограниченный круг лиц (при отсутствии доказательств действительной необходимости в установлении таких требований).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8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Постановлением Правительства РФ от 27.12.2012 ^ 1416 утверждены правила государственной регистрации медицинских изделий (далее - Правила).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8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В силу п. 3 Правил государственная регистрация медицинских изделий осуществляется Федеральной службой по надзору в сфере здравоохранения (далее - регистрирующий орган).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8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Документом, подтверждающим факт государственной регистрации медицинских изделий, является регистрационное удостоверение на медицинское изделие (п. 6 Правил).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8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В соответствии с п. 10 Правил, для государственной регистрации медицинского изделия предоставляются следующие документы: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8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в) техническая документация производителя (изготовителя) на медицинское изделие;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8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г) эксплуатационная документация производителя (изготовителя) на медицинское изделие, в том числе инструкция по применению или руководство по эксплуатации медицинского изделия.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8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В свою очередь, инструкция по применению является официальным документом, содержащим информацию о медицинском изделии, и предоставляется в составе регистрационного досье в регистрирующий орган в момент регистрации и публикуется в дальнейшем в реестре медицинских изделий в официальном интернет-источнике Ьйр8://^о8xд^аVпадxо^.доV.^и/ согласно п.п. «н» п. 6 Постановления Правительства РФ от 30.09.2021 ^ 1650 "Об утверждении Правил ведения государственного реестра медицинских изделий и организаций (индивидуальных предпринимателей), осуществляющих производство и изготовление медицинских изделий». В соответствии с указанной нормой, данный документ именуется как «электронный образец эксплуатационной документации производителя (изготовителя) на медицинское изделие.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8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Согласно п. 4 Правил, эксплуатационная документация производителя (изготовителя) - документы, предназначенные для ознакомления потребителя с конструкцией медицинского изделия, регламентирующие условия и правила эксплуатации (использование по назначению, техническое обслуживание, текущий ремонт, хранение и транспортировка), гарантированные производителем (изготовителем) значения основных параметров, характеристик (свойств) медицинского изделия, гарантийные обязательства, а также сведения о его утилизации или уничтожении.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8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Из совокупности изложенных норм законодательства о регистрации медицинских изделий следует, что эксплуатационная документация производителя, размещенная в установленном порядке на сайте Росздравнадзора</w:t>
      </w:r>
      <w:r>
        <w:fldChar w:fldCharType="begin"/>
      </w:r>
      <w:r>
        <w:rPr/>
        <w:instrText> HYPERLINK "https://roszdravnadzor.gov.ru/" </w:instrText>
      </w:r>
      <w:r>
        <w:fldChar w:fldCharType="separate"/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 xml:space="preserve"> </w:t>
      </w:r>
      <w:r>
        <w:rPr>
          <w:color w:val="000080"/>
          <w:spacing w:val="0"/>
          <w:w w:val="100"/>
          <w:position w:val="0"/>
          <w:sz w:val="24"/>
          <w:szCs w:val="24"/>
          <w:u w:val="single"/>
          <w:shd w:val="clear" w:color="auto" w:fill="auto"/>
          <w:lang w:val="ru-RU" w:eastAsia="ru-RU" w:bidi="ru-RU"/>
        </w:rPr>
        <w:t>1П1р8://го8хс1гаупас1хог. цоу. ги/</w:t>
      </w:r>
      <w:r>
        <w:fldChar w:fldCharType="end"/>
      </w:r>
      <w:r>
        <w:rPr>
          <w:color w:val="000000"/>
          <w:spacing w:val="0"/>
          <w:w w:val="100"/>
          <w:position w:val="0"/>
          <w:sz w:val="24"/>
          <w:szCs w:val="24"/>
          <w:u w:val="single"/>
          <w:shd w:val="clear" w:color="auto" w:fill="auto"/>
          <w:lang w:val="ru-RU" w:eastAsia="ru-RU" w:bidi="ru-RU"/>
        </w:rPr>
        <w:t>.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 xml:space="preserve"> содержит достоверную информацию о наличии тех или иных характеристик у медицинского изделия.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8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 xml:space="preserve">Согласно правовой позиции ФАС России. выраженной в письме от 19.04.2023 №ПИ/30510/23. </w:t>
      </w:r>
      <w:r>
        <w:rPr>
          <w:color w:val="000000"/>
          <w:spacing w:val="0"/>
          <w:w w:val="100"/>
          <w:position w:val="0"/>
          <w:sz w:val="24"/>
          <w:szCs w:val="24"/>
          <w:u w:val="single"/>
          <w:shd w:val="clear" w:color="auto" w:fill="auto"/>
          <w:lang w:val="ru-RU" w:eastAsia="ru-RU" w:bidi="ru-RU"/>
        </w:rPr>
        <w:t>объект закупки должен быть сформирован таким образом. чтобы совокупности характеристик товара соответствовало как минимум два производителя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8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Заказчик представил пояснения. согласно которым описанию объекта закупки соответствует следующее оборудование: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8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- Видеоинформационный центр эндоскопический СУ-1500 с принадлежностями. "Олимпас Медикал Системс Корп.". Япония. О1утри8 МеШса1 8у81ет8 Согр.. 2951 Ыпкауа-сЬо. 11ас111ор-8111. Токуо 192-8507. ^арап (регистрационное удостоверение № РЗН 2022/19199 от 21.12.2022);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8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- Видеопроцессоры эндоскопические с принадлежностями УР-7000. "ФУДЖИФИЛЬМ Корпорейшн". Япония. ГЦЛИЬМ Согрогайоп. 26-30. \18111ахаЬи 2-СЬоте. Мта1о-ки. Токуо 106</w:t>
        <w:softHyphen/>
        <w:t>8620. ^арап (регистрационное удостоверение № ФСЗ 2011/10274 от 12.12.2018).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8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В обоснование доводов. содержащихся в жалобе. Заявители указывают. что в составе эндоскопической системы ГиЛЛЬМ ни один из представленных у производителя видеогастроскопов не соответствует описанию объекта закупки по следующей характеристике:</w:t>
      </w:r>
    </w:p>
    <w:tbl>
      <w:tblPr>
        <w:tblOverlap w:val="never"/>
        <w:jc w:val="center"/>
        <w:tblLayout w:type="fixed"/>
      </w:tblPr>
      <w:tblGrid>
        <w:gridCol w:w="552"/>
        <w:gridCol w:w="3590"/>
        <w:gridCol w:w="571"/>
        <w:gridCol w:w="1834"/>
        <w:gridCol w:w="3384"/>
      </w:tblGrid>
      <w:tr>
        <w:trPr>
          <w:trHeight w:val="1032" w:hRule="exact"/>
        </w:trPr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2"/>
                <w:szCs w:val="2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22"/>
                <w:szCs w:val="22"/>
                <w:shd w:val="clear" w:color="auto" w:fill="auto"/>
                <w:lang w:val="ru-RU" w:eastAsia="ru-RU" w:bidi="ru-RU"/>
              </w:rPr>
              <w:t>75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2"/>
                <w:szCs w:val="22"/>
              </w:rPr>
            </w:pPr>
            <w:r>
              <w:rPr>
                <w:color w:val="000000"/>
                <w:spacing w:val="0"/>
                <w:w w:val="100"/>
                <w:position w:val="0"/>
                <w:sz w:val="22"/>
                <w:szCs w:val="22"/>
                <w:shd w:val="clear" w:color="auto" w:fill="auto"/>
                <w:lang w:val="ru-RU" w:eastAsia="ru-RU" w:bidi="ru-RU"/>
              </w:rPr>
              <w:t>Видеогастроскоп. Минимальное значение диапазона глубины резкости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2"/>
                <w:szCs w:val="22"/>
              </w:rPr>
            </w:pPr>
            <w:r>
              <w:rPr>
                <w:color w:val="000000"/>
                <w:spacing w:val="0"/>
                <w:w w:val="100"/>
                <w:position w:val="0"/>
                <w:sz w:val="22"/>
                <w:szCs w:val="22"/>
                <w:shd w:val="clear" w:color="auto" w:fill="auto"/>
                <w:lang w:val="ru-RU" w:eastAsia="ru-RU" w:bidi="ru-RU"/>
              </w:rPr>
              <w:t>&lt; 2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2"/>
                <w:szCs w:val="22"/>
              </w:rPr>
            </w:pPr>
            <w:r>
              <w:rPr>
                <w:color w:val="000000"/>
                <w:spacing w:val="0"/>
                <w:w w:val="100"/>
                <w:position w:val="0"/>
                <w:sz w:val="22"/>
                <w:szCs w:val="22"/>
                <w:shd w:val="clear" w:color="auto" w:fill="auto"/>
                <w:lang w:val="ru-RU" w:eastAsia="ru-RU" w:bidi="ru-RU"/>
              </w:rPr>
              <w:t>Миллиметр</w:t>
            </w:r>
          </w:p>
        </w:tc>
        <w:tc>
          <w:tcPr>
            <w:tcBorders>
              <w:top w:val="single" w:sz="4"/>
              <w:left w:val="single" w:sz="4"/>
              <w:bottom w:val="single" w:sz="4"/>
              <w:right w:val="single" w:sz="4"/>
            </w:tcBorders>
            <w:shd w:val="clear" w:color="auto" w:fill="auto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2"/>
                <w:szCs w:val="22"/>
              </w:rPr>
            </w:pPr>
            <w:r>
              <w:rPr>
                <w:color w:val="000000"/>
                <w:spacing w:val="0"/>
                <w:w w:val="100"/>
                <w:position w:val="0"/>
                <w:sz w:val="22"/>
                <w:szCs w:val="22"/>
                <w:shd w:val="clear" w:color="auto" w:fill="auto"/>
                <w:lang w:val="ru-RU" w:eastAsia="ru-RU" w:bidi="ru-RU"/>
              </w:rPr>
              <w:t>Для определения расстояния от дистальной части. в котором сохраняется четкая и детализированная картинка</w:t>
            </w:r>
          </w:p>
        </w:tc>
      </w:tr>
    </w:tbl>
    <w:p>
      <w:pPr>
        <w:spacing w:lineRule="exact" w:line="1"/>
        <w:rPr>
          <w:sz w:val="2"/>
          <w:szCs w:val="2"/>
        </w:rPr>
      </w:pPr>
      <w:r>
        <w:br w:type="page"/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740"/>
        <w:jc w:val="both"/>
      </w:pPr>
      <w:r>
        <mc:AlternateContent>
          <mc:Choice Requires="wps">
            <w:drawing>
              <wp:anchor distT="0" distB="0" distL="114300" distR="114300" simplePos="0" relativeHeight="125829384" behindDoc="0" locked="0" layoutInCell="1" allowOverlap="1">
                <wp:simplePos x="0" y="0"/>
                <wp:positionH relativeFrom="page">
                  <wp:posOffset>683895</wp:posOffset>
                </wp:positionH>
                <wp:positionV relativeFrom="paragraph">
                  <wp:posOffset>558800</wp:posOffset>
                </wp:positionV>
                <wp:extent cx="1487170" cy="344170"/>
                <wp:wrapSquare wrapText="right"/>
                <wp:docPr id="7" name="Shape 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487170" cy="34417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0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24"/>
                                <w:szCs w:val="24"/>
                                <w:shd w:val="clear" w:color="auto" w:fill="auto"/>
                                <w:lang w:val="ru-RU" w:eastAsia="ru-RU" w:bidi="ru-RU"/>
                              </w:rPr>
                              <w:t>согласно которой: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780"/>
                              <w:jc w:val="left"/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color w:val="6A717A"/>
                                <w:spacing w:val="0"/>
                                <w:w w:val="100"/>
                                <w:position w:val="0"/>
                                <w:sz w:val="16"/>
                                <w:szCs w:val="16"/>
                                <w:shd w:val="clear" w:color="auto" w:fill="auto"/>
                                <w:lang w:val="ru-RU" w:eastAsia="ru-RU" w:bidi="ru-RU"/>
                              </w:rPr>
                              <w:t>Глубина (МЗКОСТН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3" type="#_x0000_t202" style="position:absolute;margin-left:53.850000000000001pt;margin-top:44.pt;width:117.10000000000001pt;height:27.100000000000001pt;z-index:-125829369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10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24"/>
                          <w:szCs w:val="24"/>
                          <w:shd w:val="clear" w:color="auto" w:fill="auto"/>
                          <w:lang w:val="ru-RU" w:eastAsia="ru-RU" w:bidi="ru-RU"/>
                        </w:rPr>
                        <w:t>согласно которой: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780"/>
                        <w:jc w:val="left"/>
                        <w:rPr>
                          <w:sz w:val="16"/>
                          <w:szCs w:val="16"/>
                        </w:rPr>
                      </w:pPr>
                      <w:r>
                        <w:rPr>
                          <w:rFonts w:ascii="Arial" w:eastAsia="Arial" w:hAnsi="Arial" w:cs="Arial"/>
                          <w:b/>
                          <w:bCs/>
                          <w:color w:val="6A717A"/>
                          <w:spacing w:val="0"/>
                          <w:w w:val="100"/>
                          <w:position w:val="0"/>
                          <w:sz w:val="16"/>
                          <w:szCs w:val="16"/>
                          <w:shd w:val="clear" w:color="auto" w:fill="auto"/>
                          <w:lang w:val="ru-RU" w:eastAsia="ru-RU" w:bidi="ru-RU"/>
                        </w:rPr>
                        <w:t>Глубина (МЗКОСТН</w:t>
                      </w:r>
                    </w:p>
                  </w:txbxContent>
                </v:textbox>
                <w10:wrap type="square" side="right" anchorx="page"/>
              </v:shape>
            </w:pict>
          </mc:Fallback>
        </mc:AlternateConten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В подтверждение изложенного Заявители ссылаются на стр. 33 эксплуатационной документации на видеогастроскоп ГиЛНЬМ 0ГЕ-ЕХ1500 (регистрационное удостоверение № РЗН 2023/19902 от 29.03.2023), размещенной на сайте Росздравнадзора</w:t>
      </w:r>
      <w:r>
        <w:fldChar w:fldCharType="begin"/>
      </w:r>
      <w:r>
        <w:rPr/>
        <w:instrText> HYPERLINK "https://roszdravnadzor.gov.ru/" </w:instrText>
      </w:r>
      <w:r>
        <w:fldChar w:fldCharType="separate"/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 xml:space="preserve"> </w:t>
      </w:r>
      <w:r>
        <w:rPr>
          <w:color w:val="000080"/>
          <w:spacing w:val="0"/>
          <w:w w:val="100"/>
          <w:position w:val="0"/>
          <w:sz w:val="24"/>
          <w:szCs w:val="24"/>
          <w:u w:val="single"/>
          <w:shd w:val="clear" w:color="auto" w:fill="auto"/>
          <w:lang w:val="ru-RU" w:eastAsia="ru-RU" w:bidi="ru-RU"/>
        </w:rPr>
        <w:t xml:space="preserve">1п1р8://го82с1гаупас12ог. </w:t>
      </w:r>
      <w:r>
        <w:rPr>
          <w:smallCaps/>
          <w:color w:val="000080"/>
          <w:spacing w:val="0"/>
          <w:w w:val="100"/>
          <w:position w:val="0"/>
          <w:sz w:val="24"/>
          <w:szCs w:val="24"/>
          <w:u w:val="single"/>
          <w:shd w:val="clear" w:color="auto" w:fill="auto"/>
          <w:lang w:val="ru-RU" w:eastAsia="ru-RU" w:bidi="ru-RU"/>
        </w:rPr>
        <w:t>цоу.</w:t>
      </w:r>
      <w:r>
        <w:rPr>
          <w:color w:val="000080"/>
          <w:spacing w:val="0"/>
          <w:w w:val="100"/>
          <w:position w:val="0"/>
          <w:sz w:val="24"/>
          <w:szCs w:val="24"/>
          <w:u w:val="single"/>
          <w:shd w:val="clear" w:color="auto" w:fill="auto"/>
          <w:lang w:val="ru-RU" w:eastAsia="ru-RU" w:bidi="ru-RU"/>
        </w:rPr>
        <w:t xml:space="preserve"> ги/</w:t>
      </w:r>
      <w:r>
        <w:fldChar w:fldCharType="end"/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,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220" w:line="372" w:lineRule="auto"/>
        <w:ind w:left="0" w:right="0" w:firstLine="0"/>
        <w:jc w:val="center"/>
        <w:rPr>
          <w:sz w:val="14"/>
          <w:szCs w:val="14"/>
        </w:rPr>
      </w:pPr>
      <w:r>
        <w:rPr>
          <w:rFonts w:ascii="Arial" w:eastAsia="Arial" w:hAnsi="Arial" w:cs="Arial"/>
          <w:b/>
          <w:bCs/>
          <w:color w:val="8C8E93"/>
          <w:spacing w:val="0"/>
          <w:w w:val="100"/>
          <w:position w:val="0"/>
          <w:sz w:val="14"/>
          <w:szCs w:val="14"/>
          <w:shd w:val="clear" w:color="auto" w:fill="auto"/>
          <w:lang w:val="ru-RU" w:eastAsia="ru-RU" w:bidi="ru-RU"/>
        </w:rPr>
        <w:t>РТМХМ СТвЦДАрТнОГО фСнгуСЭ 3—100 ММ (7 - ТОД ММ й рМП*Мв А’р! I</w:t>
        <w:br/>
        <w:t>Рвчмм ближнего фокуса 1,5-5,5 мм ^5-5,5 мм в режиме АПО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Вместе с тем, в описании объекта закупки отсутствует разграничение между тем или иным режимом фокуса при работе с медицинским оборудованием, в связи с чем оспариваемой характеристике Заказчика соответствует видеогастроскоп производителя ГШИЬМ при его использовании в режиме ближнего фокуса.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Иных доказательств нарушения Заказчиком ст. 33 Закона при формировании описания объекта закупки в порядке ч. 4 ст. 106 Закона Заявителями не представлено.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22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На основании вышеизложенного, доводы жалоб Заявителей не нашли своего подтверждения.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2. По мнению Заявителя-1, Заказчиком нарушены принципы определенности и разумности детализации требований, установленных ГОСТ Р 55719-2013 «Национальный стандарт Российской Федерации. Изделия медицинские электрические. Требования к содержанию и оформлению технических заданий для конкурсной документации при проведении государственных закупок высокотехнологичного медицинского оборудования», при включении в описании объекта закупки характеристик «Источник света» и «Видеогастроскоп. Наружный диаметр рабочей части (вводимой трубки или гибкой части)».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 xml:space="preserve">В соответствии с п. 2 ч. 1 ст. 33 Закона заказчик в случаях, предусмотренных настоящим Федеральным законом, при описании объекта закупки должен руководствоваться следующими правилами: использование при составлении описания объекта закупки показателей, требований, условных обозначений и терминологии, касающихся технических характеристик, функциональных характеристик (потребительских свойств) товара, работы, услуги и качественных характеристик объекта закупки, которые предусмотрены техническими регламентами, принятыми в соответствии с законодательством Российской Федерации о техническом регулировании, документами, разрабатываемыми и применяемыми в национальной системе стандартизации, принятыми в соответствии с законодательством Российской Федерации о стандартизации, иных требований, связанных с определением соответствия поставляемого товара, выполняемой работы, оказываемой услуги потребностям заказчика. </w:t>
      </w:r>
      <w:r>
        <w:rPr>
          <w:color w:val="000000"/>
          <w:spacing w:val="0"/>
          <w:w w:val="100"/>
          <w:position w:val="0"/>
          <w:sz w:val="24"/>
          <w:szCs w:val="24"/>
          <w:u w:val="single"/>
          <w:shd w:val="clear" w:color="auto" w:fill="auto"/>
          <w:lang w:val="ru-RU" w:eastAsia="ru-RU" w:bidi="ru-RU"/>
        </w:rPr>
        <w:t>Если заказчиком при составлении описания объекта закупки не используются установленные в соответствии с законодательством Российской Федерации о техническом регулировании, законодательством Российской Федерации о стандартизации показатели, требования, условные обозначения и терминология, в таком описании должно содержаться обоснование необходимости использования других показателей, требований, условных обозначений и терминологии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По мнению Заявителя, установление следующих характеристик не соответствует вышеизложенным принципам:</w:t>
      </w:r>
    </w:p>
    <w:tbl>
      <w:tblPr>
        <w:tblOverlap w:val="never"/>
        <w:jc w:val="center"/>
        <w:tblLayout w:type="fixed"/>
      </w:tblPr>
      <w:tblGrid>
        <w:gridCol w:w="686"/>
        <w:gridCol w:w="3168"/>
        <w:gridCol w:w="1200"/>
        <w:gridCol w:w="2203"/>
        <w:gridCol w:w="3019"/>
      </w:tblGrid>
      <w:tr>
        <w:trPr>
          <w:trHeight w:val="523" w:hRule="exact"/>
        </w:trPr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2"/>
                <w:szCs w:val="2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22"/>
                <w:szCs w:val="22"/>
                <w:shd w:val="clear" w:color="auto" w:fill="auto"/>
                <w:lang w:val="ru-RU" w:eastAsia="ru-RU" w:bidi="ru-RU"/>
              </w:rPr>
              <w:t>29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2"/>
                <w:szCs w:val="22"/>
              </w:rPr>
            </w:pPr>
            <w:r>
              <w:rPr>
                <w:color w:val="000000"/>
                <w:spacing w:val="0"/>
                <w:w w:val="100"/>
                <w:position w:val="0"/>
                <w:sz w:val="22"/>
                <w:szCs w:val="22"/>
                <w:shd w:val="clear" w:color="auto" w:fill="auto"/>
                <w:lang w:val="ru-RU" w:eastAsia="ru-RU" w:bidi="ru-RU"/>
              </w:rPr>
              <w:t>Источник света. Тип источника света - Светодиодный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2"/>
                <w:szCs w:val="22"/>
              </w:rPr>
            </w:pPr>
            <w:r>
              <w:rPr>
                <w:color w:val="000000"/>
                <w:spacing w:val="0"/>
                <w:w w:val="100"/>
                <w:position w:val="0"/>
                <w:sz w:val="22"/>
                <w:szCs w:val="22"/>
                <w:shd w:val="clear" w:color="auto" w:fill="auto"/>
                <w:lang w:val="ru-RU" w:eastAsia="ru-RU" w:bidi="ru-RU"/>
              </w:rPr>
              <w:t>Наличие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  <w:bottom w:val="single" w:sz="4"/>
              <w:right w:val="single" w:sz="4"/>
            </w:tcBorders>
            <w:shd w:val="clear" w:color="auto" w:fill="auto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2"/>
                <w:szCs w:val="22"/>
              </w:rPr>
            </w:pPr>
            <w:r>
              <w:rPr>
                <w:color w:val="000000"/>
                <w:spacing w:val="0"/>
                <w:w w:val="100"/>
                <w:position w:val="0"/>
                <w:sz w:val="22"/>
                <w:szCs w:val="22"/>
                <w:shd w:val="clear" w:color="auto" w:fill="auto"/>
                <w:lang w:val="ru-RU" w:eastAsia="ru-RU" w:bidi="ru-RU"/>
              </w:rPr>
              <w:t>для лучшей освещённости объекта исследования</w:t>
            </w:r>
          </w:p>
        </w:tc>
      </w:tr>
    </w:tbl>
    <w:p>
      <w:pPr>
        <w:widowControl w:val="0"/>
        <w:spacing w:after="279" w:line="1" w:lineRule="exact"/>
      </w:pPr>
    </w:p>
    <w:p>
      <w:pPr>
        <w:widowControl w:val="0"/>
        <w:spacing w:line="1" w:lineRule="exact"/>
      </w:pPr>
    </w:p>
    <w:tbl>
      <w:tblPr>
        <w:tblOverlap w:val="never"/>
        <w:jc w:val="center"/>
        <w:tblLayout w:type="fixed"/>
      </w:tblPr>
      <w:tblGrid>
        <w:gridCol w:w="624"/>
        <w:gridCol w:w="3197"/>
        <w:gridCol w:w="1234"/>
        <w:gridCol w:w="2150"/>
        <w:gridCol w:w="3077"/>
      </w:tblGrid>
      <w:tr>
        <w:trPr>
          <w:trHeight w:val="1037" w:hRule="exact"/>
        </w:trPr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2"/>
                <w:szCs w:val="2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22"/>
                <w:szCs w:val="22"/>
                <w:shd w:val="clear" w:color="auto" w:fill="auto"/>
                <w:lang w:val="ru-RU" w:eastAsia="ru-RU" w:bidi="ru-RU"/>
              </w:rPr>
              <w:t>77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2"/>
                <w:szCs w:val="22"/>
              </w:rPr>
            </w:pPr>
            <w:r>
              <w:rPr>
                <w:color w:val="000000"/>
                <w:spacing w:val="0"/>
                <w:w w:val="100"/>
                <w:position w:val="0"/>
                <w:sz w:val="22"/>
                <w:szCs w:val="22"/>
                <w:shd w:val="clear" w:color="auto" w:fill="auto"/>
                <w:lang w:val="ru-RU" w:eastAsia="ru-RU" w:bidi="ru-RU"/>
              </w:rPr>
              <w:t>Видеогастроскоп. Наружный диаметр рабочей части (вводимой трубки или гибкой части)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2"/>
                <w:szCs w:val="22"/>
              </w:rPr>
            </w:pPr>
            <w:r>
              <w:rPr>
                <w:color w:val="000000"/>
                <w:spacing w:val="0"/>
                <w:w w:val="100"/>
                <w:position w:val="0"/>
                <w:sz w:val="22"/>
                <w:szCs w:val="22"/>
                <w:shd w:val="clear" w:color="auto" w:fill="auto"/>
                <w:lang w:val="ru-RU" w:eastAsia="ru-RU" w:bidi="ru-RU"/>
              </w:rPr>
              <w:t>&gt;9,3 &lt; 9,6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2"/>
                <w:szCs w:val="22"/>
              </w:rPr>
            </w:pPr>
            <w:r>
              <w:rPr>
                <w:color w:val="000000"/>
                <w:spacing w:val="0"/>
                <w:w w:val="100"/>
                <w:position w:val="0"/>
                <w:sz w:val="22"/>
                <w:szCs w:val="22"/>
                <w:shd w:val="clear" w:color="auto" w:fill="auto"/>
                <w:lang w:val="ru-RU" w:eastAsia="ru-RU" w:bidi="ru-RU"/>
              </w:rPr>
              <w:t>Миллиметр</w:t>
            </w:r>
          </w:p>
        </w:tc>
        <w:tc>
          <w:tcPr>
            <w:tcBorders>
              <w:top w:val="single" w:sz="4"/>
              <w:left w:val="single" w:sz="4"/>
              <w:bottom w:val="single" w:sz="4"/>
              <w:right w:val="single" w:sz="4"/>
            </w:tcBorders>
            <w:shd w:val="clear" w:color="auto" w:fill="auto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2"/>
                <w:szCs w:val="22"/>
              </w:rPr>
            </w:pPr>
            <w:r>
              <w:rPr>
                <w:color w:val="000000"/>
                <w:spacing w:val="0"/>
                <w:w w:val="100"/>
                <w:position w:val="0"/>
                <w:sz w:val="22"/>
                <w:szCs w:val="22"/>
                <w:shd w:val="clear" w:color="auto" w:fill="auto"/>
                <w:lang w:val="ru-RU" w:eastAsia="ru-RU" w:bidi="ru-RU"/>
              </w:rPr>
              <w:t>Для определения диаметра по всей длине эндоскопа</w:t>
            </w:r>
          </w:p>
        </w:tc>
      </w:tr>
    </w:tbl>
    <w:p>
      <w:pPr>
        <w:pStyle w:val="Style2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686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Данный довод Заявителя-1 сводится к обжалованию потребности Заказчика.</w:t>
      </w:r>
      <w:r>
        <w:br w:type="page"/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В силу ч. 2 ст. 19 Закона для целей настоящей статьи под требованиями к закупаемым заказчиком товарам, работам, услугам понимаются требования к количеству, потребительским свойствам (в том числе характеристикам качества) и иным характеристикам товаров, работ, услуг, позволяющие обеспечить государственные и муниципальные нужды, но не приводящие к закупкам товаров, работ, услуг, которые имеют избыточные потребительские свойства или являются предметами роскоши в соответствии с законодательством Российской Федерации.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При этом антимонопольный орган не наделен полномочиями проверять потребность Заказчика для решения возложенных на него задач. Аналогичная правовая позиция изложена в Постановлении Арбитражного суда Северо-Кавказского округа от 10.02.2021 №Ф08-12521/2020 по делу №А53-13738/2020.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Заявителем-1 не представлено информации, каким образом установление оспариваемых характеристик влечет за собой ограничение круга потенциальных участников закупки.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На основании изложенного, довод жалобы признан необоснованным.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На основании Постановления Правительства РФ от 26.08.2013г. № 728, в соответствии с ч.15 ст.99, ч.8 ст.106 Закона,</w:t>
      </w:r>
    </w:p>
    <w:p>
      <w:pPr>
        <w:pStyle w:val="Style20"/>
        <w:keepNext/>
        <w:keepLines/>
        <w:widowControl w:val="0"/>
        <w:shd w:val="clear" w:color="auto" w:fill="auto"/>
        <w:bidi w:val="0"/>
        <w:spacing w:before="0" w:after="240" w:line="240" w:lineRule="auto"/>
        <w:ind w:left="0" w:right="0" w:firstLine="0"/>
        <w:jc w:val="center"/>
      </w:pPr>
      <w:bookmarkStart w:id="6" w:name="bookmark6"/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РЕШИЛА:</w:t>
      </w:r>
      <w:bookmarkEnd w:id="6"/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Признать жалобы Заявителей необоснованными.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  <w:rPr>
          <w:sz w:val="20"/>
          <w:szCs w:val="20"/>
        </w:rPr>
      </w:pPr>
      <w:r>
        <w:rPr>
          <w:color w:val="000000"/>
          <w:spacing w:val="0"/>
          <w:w w:val="100"/>
          <w:position w:val="0"/>
          <w:sz w:val="20"/>
          <w:szCs w:val="20"/>
          <w:shd w:val="clear" w:color="auto" w:fill="auto"/>
          <w:lang w:val="ru-RU" w:eastAsia="ru-RU" w:bidi="ru-RU"/>
        </w:rPr>
        <w:t>В силу ч.9 ст.106 Закона решение может быть обжаловано в судебном порядке в течение трех месяцев со дня его принятия.</w:t>
      </w:r>
    </w:p>
    <w:p>
      <w:pPr>
        <w:widowControl w:val="0"/>
        <w:spacing w:line="1" w:lineRule="exact"/>
        <w:sectPr>
          <w:footerReference w:type="default" r:id="rId5"/>
          <w:footnotePr>
            <w:pos w:val="pageBottom"/>
            <w:numFmt w:val="decimal"/>
            <w:numRestart w:val="continuous"/>
          </w:footnotePr>
          <w:pgSz w:w="11900" w:h="16840"/>
          <w:pgMar w:top="1110" w:right="494" w:bottom="1169" w:left="1058" w:header="682" w:footer="3" w:gutter="0"/>
          <w:pgNumType w:start="1"/>
          <w:cols w:space="720"/>
          <w:noEndnote/>
          <w:rtlGutter w:val="0"/>
          <w:docGrid w:linePitch="360"/>
        </w:sectPr>
      </w:pPr>
      <w:r>
        <mc:AlternateContent>
          <mc:Choice Requires="wps">
            <w:drawing>
              <wp:anchor distT="101600" distB="231140" distL="0" distR="0" simplePos="0" relativeHeight="125829386" behindDoc="0" locked="0" layoutInCell="1" allowOverlap="1">
                <wp:simplePos x="0" y="0"/>
                <wp:positionH relativeFrom="page">
                  <wp:posOffset>721995</wp:posOffset>
                </wp:positionH>
                <wp:positionV relativeFrom="paragraph">
                  <wp:posOffset>101600</wp:posOffset>
                </wp:positionV>
                <wp:extent cx="1572895" cy="219710"/>
                <wp:wrapTopAndBottom/>
                <wp:docPr id="11" name="Shape 1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572895" cy="21971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0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24"/>
                                <w:szCs w:val="24"/>
                                <w:shd w:val="clear" w:color="auto" w:fill="auto"/>
                                <w:lang w:val="ru-RU" w:eastAsia="ru-RU" w:bidi="ru-RU"/>
                              </w:rPr>
                              <w:t>Председатель комиссии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7" type="#_x0000_t202" style="position:absolute;margin-left:56.850000000000001pt;margin-top:8.pt;width:123.85000000000001pt;height:17.300000000000001pt;z-index:-125829367;mso-wrap-distance-left:0;mso-wrap-distance-top:8.pt;mso-wrap-distance-right:0;mso-wrap-distance-bottom:18.199999999999999pt;mso-position-horizontal-relative:page" filled="f" stroked="f">
                <v:textbox inset="0,0,0,0">
                  <w:txbxContent>
                    <w:p>
                      <w:pPr>
                        <w:pStyle w:val="Style10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24"/>
                          <w:szCs w:val="24"/>
                          <w:shd w:val="clear" w:color="auto" w:fill="auto"/>
                          <w:lang w:val="ru-RU" w:eastAsia="ru-RU" w:bidi="ru-RU"/>
                        </w:rPr>
                        <w:t>Председатель комиссии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drawing>
          <wp:anchor distT="193040" distB="0" distL="0" distR="1804670" simplePos="0" relativeHeight="125829388" behindDoc="0" locked="0" layoutInCell="1" allowOverlap="1">
            <wp:simplePos x="0" y="0"/>
            <wp:positionH relativeFrom="page">
              <wp:posOffset>2687955</wp:posOffset>
            </wp:positionH>
            <wp:positionV relativeFrom="paragraph">
              <wp:posOffset>193040</wp:posOffset>
            </wp:positionV>
            <wp:extent cx="311150" cy="359410"/>
            <wp:wrapTopAndBottom/>
            <wp:docPr id="13" name="Shape 1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Picture box 14"/>
                    <pic:cNvPicPr/>
                  </pic:nvPicPr>
                  <pic:blipFill>
                    <a:blip r:embed="rId6"/>
                    <a:stretch/>
                  </pic:blipFill>
                  <pic:spPr>
                    <a:xfrm>
                      <a:ext cx="311150" cy="35941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2" behindDoc="0" locked="0" layoutInCell="1" allowOverlap="1">
                <wp:simplePos x="0" y="0"/>
                <wp:positionH relativeFrom="page">
                  <wp:posOffset>3081020</wp:posOffset>
                </wp:positionH>
                <wp:positionV relativeFrom="paragraph">
                  <wp:posOffset>262890</wp:posOffset>
                </wp:positionV>
                <wp:extent cx="1722120" cy="255905"/>
                <wp:wrapNone/>
                <wp:docPr id="15" name="Shape 1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59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14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Подлинник электронного документа, подписанного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ЭП, 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хранится в системе электронного документооборота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ФАС 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1" type="#_x0000_t202" style="position:absolute;margin-left:242.59999999999999pt;margin-top:20.699999999999999pt;width:135.59999999999999pt;height:20.150000000000002pt;z-index:251657729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14" w:lineRule="auto"/>
                        <w:ind w:left="0" w:right="0" w:firstLine="0"/>
                        <w:jc w:val="left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Подлинник электронного документа, подписанного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ЭП, </w:t>
                      </w: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хранится в системе электронного документооборота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ФАС </w:t>
                      </w: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101600" distB="231140" distL="0" distR="0" simplePos="0" relativeHeight="125829389" behindDoc="0" locked="0" layoutInCell="1" allowOverlap="1">
                <wp:simplePos x="0" y="0"/>
                <wp:positionH relativeFrom="page">
                  <wp:posOffset>6077585</wp:posOffset>
                </wp:positionH>
                <wp:positionV relativeFrom="paragraph">
                  <wp:posOffset>101600</wp:posOffset>
                </wp:positionV>
                <wp:extent cx="1109345" cy="219710"/>
                <wp:wrapTopAndBottom/>
                <wp:docPr id="17" name="Shape 1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109345" cy="21971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0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24"/>
                                <w:szCs w:val="24"/>
                                <w:shd w:val="clear" w:color="auto" w:fill="auto"/>
                                <w:lang w:val="ru-RU" w:eastAsia="ru-RU" w:bidi="ru-RU"/>
                              </w:rPr>
                              <w:t>М.А. Благодарев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3" type="#_x0000_t202" style="position:absolute;margin-left:478.55000000000001pt;margin-top:8.pt;width:87.350000000000009pt;height:17.300000000000001pt;z-index:-125829364;mso-wrap-distance-left:0;mso-wrap-distance-top:8.pt;mso-wrap-distance-right:0;mso-wrap-distance-bottom:18.199999999999999pt;mso-position-horizontal-relative:page" filled="f" stroked="f">
                <v:textbox inset="0,0,0,0">
                  <w:txbxContent>
                    <w:p>
                      <w:pPr>
                        <w:pStyle w:val="Style10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24"/>
                          <w:szCs w:val="24"/>
                          <w:shd w:val="clear" w:color="auto" w:fill="auto"/>
                          <w:lang w:val="ru-RU" w:eastAsia="ru-RU" w:bidi="ru-RU"/>
                        </w:rPr>
                        <w:t>М.А. Благодарев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pStyle w:val="Style2"/>
        <w:keepNext w:val="0"/>
        <w:keepLines w:val="0"/>
        <w:widowControl w:val="0"/>
        <w:pBdr>
          <w:top w:val="single" w:sz="0" w:space="1" w:color="000000"/>
          <w:left w:val="single" w:sz="0" w:space="0" w:color="000000"/>
          <w:bottom w:val="single" w:sz="0" w:space="2" w:color="000000"/>
          <w:right w:val="single" w:sz="0" w:space="0" w:color="000000"/>
        </w:pBdr>
        <w:shd w:val="clear" w:color="auto" w:fill="000000"/>
        <w:bidi w:val="0"/>
        <w:spacing w:before="0" w:after="46" w:line="240" w:lineRule="auto"/>
        <w:ind w:left="0" w:right="0" w:firstLine="0"/>
        <w:jc w:val="center"/>
        <w:rPr>
          <w:sz w:val="11"/>
          <w:szCs w:val="11"/>
        </w:rPr>
      </w:pPr>
      <w:r>
        <w:rPr>
          <w:b/>
          <w:bCs/>
          <w:color w:val="E8E8E8"/>
          <w:spacing w:val="0"/>
          <w:w w:val="100"/>
          <w:position w:val="0"/>
          <w:sz w:val="11"/>
          <w:szCs w:val="11"/>
          <w:shd w:val="clear" w:color="auto" w:fill="auto"/>
          <w:lang w:val="ru-RU" w:eastAsia="ru-RU" w:bidi="ru-RU"/>
        </w:rPr>
        <w:t xml:space="preserve">СВЕДЕНИЯ </w:t>
      </w:r>
      <w:r>
        <w:rPr>
          <w:b/>
          <w:bCs/>
          <w:color w:val="FFFFFF"/>
          <w:spacing w:val="0"/>
          <w:w w:val="100"/>
          <w:position w:val="0"/>
          <w:sz w:val="11"/>
          <w:szCs w:val="11"/>
          <w:shd w:val="clear" w:color="auto" w:fill="auto"/>
          <w:lang w:val="ru-RU" w:eastAsia="ru-RU" w:bidi="ru-RU"/>
        </w:rPr>
        <w:t xml:space="preserve">О </w:t>
      </w:r>
      <w:r>
        <w:rPr>
          <w:b/>
          <w:bCs/>
          <w:color w:val="E8E8E8"/>
          <w:spacing w:val="0"/>
          <w:w w:val="100"/>
          <w:position w:val="0"/>
          <w:sz w:val="11"/>
          <w:szCs w:val="11"/>
          <w:shd w:val="clear" w:color="auto" w:fill="auto"/>
          <w:lang w:val="ru-RU" w:eastAsia="ru-RU" w:bidi="ru-RU"/>
        </w:rPr>
        <w:t>СЕРТИФИКАТЕ ЭП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3100" w:right="0" w:firstLine="0"/>
        <w:jc w:val="left"/>
        <w:rPr>
          <w:sz w:val="11"/>
          <w:szCs w:val="11"/>
        </w:rPr>
      </w:pPr>
      <w:r>
        <w:rPr>
          <w:rFonts w:ascii="Arial" w:eastAsia="Arial" w:hAnsi="Arial" w:cs="Arial"/>
          <w:color w:val="5E5E5E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Кому </w:t>
      </w:r>
      <w:r>
        <w:rPr>
          <w:rFonts w:ascii="Arial" w:eastAsia="Arial" w:hAnsi="Arial" w:cs="Arial"/>
          <w:color w:val="000000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выдан: </w:t>
      </w:r>
      <w:r>
        <w:rPr>
          <w:rFonts w:ascii="Arial" w:eastAsia="Arial" w:hAnsi="Arial" w:cs="Arial"/>
          <w:color w:val="000000"/>
          <w:spacing w:val="0"/>
          <w:w w:val="100"/>
          <w:position w:val="0"/>
          <w:sz w:val="11"/>
          <w:szCs w:val="11"/>
          <w:shd w:val="clear" w:color="auto" w:fill="auto"/>
          <w:lang w:val="ru-RU" w:eastAsia="ru-RU" w:bidi="ru-RU"/>
        </w:rPr>
        <w:t>Благодарев Максим Александрович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3100" w:right="0" w:firstLine="0"/>
        <w:jc w:val="left"/>
        <w:rPr>
          <w:sz w:val="12"/>
          <w:szCs w:val="12"/>
        </w:rPr>
      </w:pPr>
      <w:r>
        <w:rPr>
          <w:rFonts w:ascii="Arial" w:eastAsia="Arial" w:hAnsi="Arial" w:cs="Arial"/>
          <w:color w:val="474747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Сертификат </w:t>
      </w:r>
      <w:r>
        <w:rPr>
          <w:rFonts w:ascii="Arial" w:eastAsia="Arial" w:hAnsi="Arial" w:cs="Arial"/>
          <w:color w:val="000000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№ </w:t>
      </w:r>
      <w:r>
        <w:rPr>
          <w:rFonts w:ascii="Arial" w:eastAsia="Arial" w:hAnsi="Arial" w:cs="Arial"/>
          <w:color w:val="5E5E5E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>703В0362ВВЕ20А1</w:t>
      </w:r>
      <w:r>
        <w:rPr>
          <w:rFonts w:ascii="Arial" w:eastAsia="Arial" w:hAnsi="Arial" w:cs="Arial"/>
          <w:color w:val="474747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>С404ВСА40590СЕ50Е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3100" w:right="0" w:firstLine="0"/>
        <w:jc w:val="left"/>
        <w:rPr>
          <w:sz w:val="12"/>
          <w:szCs w:val="12"/>
        </w:rPr>
      </w:pPr>
      <w:r>
        <w:rPr>
          <w:rFonts w:ascii="Arial" w:eastAsia="Arial" w:hAnsi="Arial" w:cs="Arial"/>
          <w:color w:val="5E5E5E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Действителен </w:t>
      </w:r>
      <w:r>
        <w:rPr>
          <w:rFonts w:ascii="Arial" w:eastAsia="Arial" w:hAnsi="Arial" w:cs="Arial"/>
          <w:color w:val="000000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с </w:t>
      </w:r>
      <w:r>
        <w:rPr>
          <w:rFonts w:ascii="Arial" w:eastAsia="Arial" w:hAnsi="Arial" w:cs="Arial"/>
          <w:color w:val="5E5E5E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04.04.2023 </w:t>
      </w:r>
      <w:r>
        <w:rPr>
          <w:rFonts w:ascii="Arial" w:eastAsia="Arial" w:hAnsi="Arial" w:cs="Arial"/>
          <w:color w:val="8C8E93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по </w:t>
      </w:r>
      <w:r>
        <w:rPr>
          <w:rFonts w:ascii="Arial" w:eastAsia="Arial" w:hAnsi="Arial" w:cs="Arial"/>
          <w:color w:val="242424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>27.06.2024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8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Члены комиссии: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680" w:line="240" w:lineRule="auto"/>
        <w:ind w:left="1880" w:right="0" w:firstLine="0"/>
        <w:jc w:val="left"/>
      </w:pPr>
      <w:r>
        <w:drawing>
          <wp:anchor distT="0" distB="0" distL="114300" distR="1900555" simplePos="0" relativeHeight="125829391" behindDoc="0" locked="0" layoutInCell="1" allowOverlap="1">
            <wp:simplePos x="0" y="0"/>
            <wp:positionH relativeFrom="page">
              <wp:posOffset>2666365</wp:posOffset>
            </wp:positionH>
            <wp:positionV relativeFrom="paragraph">
              <wp:posOffset>63500</wp:posOffset>
            </wp:positionV>
            <wp:extent cx="353695" cy="536575"/>
            <wp:wrapSquare wrapText="right"/>
            <wp:docPr id="19" name="Shape 19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Picture box 20"/>
                    <pic:cNvPicPr/>
                  </pic:nvPicPr>
                  <pic:blipFill>
                    <a:blip r:embed="rId8"/>
                    <a:stretch/>
                  </pic:blipFill>
                  <pic:spPr>
                    <a:xfrm>
                      <a:ext cx="353695" cy="536575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4" behindDoc="0" locked="0" layoutInCell="1" allowOverlap="1">
                <wp:simplePos x="0" y="0"/>
                <wp:positionH relativeFrom="page">
                  <wp:posOffset>3123565</wp:posOffset>
                </wp:positionH>
                <wp:positionV relativeFrom="paragraph">
                  <wp:posOffset>466090</wp:posOffset>
                </wp:positionV>
                <wp:extent cx="1280160" cy="103505"/>
                <wp:wrapNone/>
                <wp:docPr id="21" name="Shape 2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80160" cy="1035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000000"/>
                                <w:left w:val="single" w:sz="0" w:space="0" w:color="000000"/>
                                <w:bottom w:val="single" w:sz="0" w:space="0" w:color="000000"/>
                                <w:right w:val="single" w:sz="0" w:space="0" w:color="000000"/>
                              </w:pBdr>
                              <w:shd w:val="clear" w:color="auto" w:fill="000000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1"/>
                                <w:szCs w:val="11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E8E8E8"/>
                                <w:spacing w:val="0"/>
                                <w:w w:val="100"/>
                                <w:position w:val="0"/>
                                <w:sz w:val="11"/>
                                <w:szCs w:val="11"/>
                                <w:shd w:val="clear" w:color="auto" w:fill="auto"/>
                                <w:lang w:val="ru-RU" w:eastAsia="ru-RU" w:bidi="ru-RU"/>
                              </w:rPr>
                              <w:t>СВЕДЕНИЯ О СЕРТИФИКАТЕ ЭП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7" type="#_x0000_t202" style="position:absolute;margin-left:245.95000000000002pt;margin-top:36.700000000000003pt;width:100.8pt;height:8.1500000000000004pt;z-index:251657731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pBdr>
                          <w:top w:val="single" w:sz="0" w:space="0" w:color="000000"/>
                          <w:left w:val="single" w:sz="0" w:space="0" w:color="000000"/>
                          <w:bottom w:val="single" w:sz="0" w:space="0" w:color="000000"/>
                          <w:right w:val="single" w:sz="0" w:space="0" w:color="000000"/>
                        </w:pBdr>
                        <w:shd w:val="clear" w:color="auto" w:fill="000000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11"/>
                          <w:szCs w:val="11"/>
                        </w:rPr>
                      </w:pPr>
                      <w:r>
                        <w:rPr>
                          <w:b/>
                          <w:bCs/>
                          <w:color w:val="E8E8E8"/>
                          <w:spacing w:val="0"/>
                          <w:w w:val="100"/>
                          <w:position w:val="0"/>
                          <w:sz w:val="11"/>
                          <w:szCs w:val="11"/>
                          <w:shd w:val="clear" w:color="auto" w:fill="auto"/>
                          <w:lang w:val="ru-RU" w:eastAsia="ru-RU" w:bidi="ru-RU"/>
                        </w:rPr>
                        <w:t>СВЕДЕНИЯ О СЕРТИФИКАТЕ ЭП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86" behindDoc="0" locked="0" layoutInCell="1" allowOverlap="1">
                <wp:simplePos x="0" y="0"/>
                <wp:positionH relativeFrom="page">
                  <wp:posOffset>3081020</wp:posOffset>
                </wp:positionH>
                <wp:positionV relativeFrom="paragraph">
                  <wp:posOffset>154940</wp:posOffset>
                </wp:positionV>
                <wp:extent cx="1722120" cy="255905"/>
                <wp:wrapNone/>
                <wp:docPr id="23" name="Shape 2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59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14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Подлинник электронного документа, подписанного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ЭП, 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хранится в системе электронного документооборота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ФАС 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9" type="#_x0000_t202" style="position:absolute;margin-left:242.59999999999999pt;margin-top:12.200000000000001pt;width:135.59999999999999pt;height:20.150000000000002pt;z-index:251657733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14" w:lineRule="auto"/>
                        <w:ind w:left="0" w:right="0" w:firstLine="0"/>
                        <w:jc w:val="left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Подлинник электронного документа, подписанного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ЭП, </w:t>
                      </w: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хранится в системе электронного документооборота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ФАС </w:t>
                      </w: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С.А. Евстратова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3100" w:right="0" w:firstLine="0"/>
        <w:jc w:val="left"/>
        <w:rPr>
          <w:sz w:val="11"/>
          <w:szCs w:val="11"/>
        </w:rPr>
      </w:pPr>
      <w:r>
        <w:rPr>
          <w:rFonts w:ascii="Arial" w:eastAsia="Arial" w:hAnsi="Arial" w:cs="Arial"/>
          <w:color w:val="5E5E5E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Кому </w:t>
      </w:r>
      <w:r>
        <w:rPr>
          <w:rFonts w:ascii="Arial" w:eastAsia="Arial" w:hAnsi="Arial" w:cs="Arial"/>
          <w:color w:val="000000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выдан: </w:t>
      </w:r>
      <w:r>
        <w:rPr>
          <w:rFonts w:ascii="Arial" w:eastAsia="Arial" w:hAnsi="Arial" w:cs="Arial"/>
          <w:color w:val="000000"/>
          <w:spacing w:val="0"/>
          <w:w w:val="100"/>
          <w:position w:val="0"/>
          <w:sz w:val="11"/>
          <w:szCs w:val="11"/>
          <w:shd w:val="clear" w:color="auto" w:fill="auto"/>
          <w:lang w:val="ru-RU" w:eastAsia="ru-RU" w:bidi="ru-RU"/>
        </w:rPr>
        <w:t>Евстратова Софья Александровна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3100" w:right="0" w:firstLine="0"/>
        <w:jc w:val="left"/>
        <w:rPr>
          <w:sz w:val="12"/>
          <w:szCs w:val="12"/>
        </w:rPr>
      </w:pPr>
      <w:r>
        <w:rPr>
          <w:rFonts w:ascii="Arial" w:eastAsia="Arial" w:hAnsi="Arial" w:cs="Arial"/>
          <w:color w:val="474747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Сертификат </w:t>
      </w:r>
      <w:r>
        <w:rPr>
          <w:rFonts w:ascii="Arial" w:eastAsia="Arial" w:hAnsi="Arial" w:cs="Arial"/>
          <w:color w:val="000000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№ </w:t>
      </w:r>
      <w:r>
        <w:rPr>
          <w:rFonts w:ascii="Arial" w:eastAsia="Arial" w:hAnsi="Arial" w:cs="Arial"/>
          <w:color w:val="474747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>00АО80СО55ВЕ1728СО46ЕСЕЮА43Е063О</w:t>
      </w:r>
      <w:r>
        <w:rPr>
          <w:rFonts w:ascii="Arial" w:eastAsia="Arial" w:hAnsi="Arial" w:cs="Arial"/>
          <w:color w:val="474747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>!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320" w:line="240" w:lineRule="auto"/>
        <w:ind w:left="3100" w:right="0" w:firstLine="0"/>
        <w:jc w:val="left"/>
        <w:rPr>
          <w:sz w:val="12"/>
          <w:szCs w:val="12"/>
        </w:rPr>
      </w:pPr>
      <w:r>
        <w:rPr>
          <w:rFonts w:ascii="Arial" w:eastAsia="Arial" w:hAnsi="Arial" w:cs="Arial"/>
          <w:color w:val="5E5E5E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Действителен </w:t>
      </w:r>
      <w:r>
        <w:rPr>
          <w:rFonts w:ascii="Arial" w:eastAsia="Arial" w:hAnsi="Arial" w:cs="Arial"/>
          <w:color w:val="000000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с </w:t>
      </w:r>
      <w:r>
        <w:rPr>
          <w:rFonts w:ascii="Arial" w:eastAsia="Arial" w:hAnsi="Arial" w:cs="Arial"/>
          <w:color w:val="5E5E5E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24.04.2023 </w:t>
      </w:r>
      <w:r>
        <w:rPr>
          <w:rFonts w:ascii="Arial" w:eastAsia="Arial" w:hAnsi="Arial" w:cs="Arial"/>
          <w:color w:val="8C8E93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по </w:t>
      </w:r>
      <w:r>
        <w:rPr>
          <w:rFonts w:ascii="Arial" w:eastAsia="Arial" w:hAnsi="Arial" w:cs="Arial"/>
          <w:color w:val="474747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>17.07.2024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680" w:line="240" w:lineRule="auto"/>
        <w:ind w:left="1880" w:right="0" w:firstLine="0"/>
        <w:jc w:val="left"/>
      </w:pPr>
      <w:r>
        <w:drawing>
          <wp:anchor distT="0" distB="0" distL="114300" distR="1900555" simplePos="0" relativeHeight="125829392" behindDoc="0" locked="0" layoutInCell="1" allowOverlap="1">
            <wp:simplePos x="0" y="0"/>
            <wp:positionH relativeFrom="page">
              <wp:posOffset>2666365</wp:posOffset>
            </wp:positionH>
            <wp:positionV relativeFrom="paragraph">
              <wp:posOffset>63500</wp:posOffset>
            </wp:positionV>
            <wp:extent cx="353695" cy="536575"/>
            <wp:wrapSquare wrapText="right"/>
            <wp:docPr id="25" name="Shape 2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" name="Picture box 26"/>
                    <pic:cNvPicPr/>
                  </pic:nvPicPr>
                  <pic:blipFill>
                    <a:blip r:embed="rId10"/>
                    <a:stretch/>
                  </pic:blipFill>
                  <pic:spPr>
                    <a:xfrm>
                      <a:ext cx="353695" cy="536575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8" behindDoc="0" locked="0" layoutInCell="1" allowOverlap="1">
                <wp:simplePos x="0" y="0"/>
                <wp:positionH relativeFrom="page">
                  <wp:posOffset>3123565</wp:posOffset>
                </wp:positionH>
                <wp:positionV relativeFrom="paragraph">
                  <wp:posOffset>466090</wp:posOffset>
                </wp:positionV>
                <wp:extent cx="1280160" cy="103505"/>
                <wp:wrapNone/>
                <wp:docPr id="27" name="Shape 2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80160" cy="1035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000000"/>
                                <w:left w:val="single" w:sz="0" w:space="0" w:color="000000"/>
                                <w:bottom w:val="single" w:sz="0" w:space="0" w:color="000000"/>
                                <w:right w:val="single" w:sz="0" w:space="0" w:color="000000"/>
                              </w:pBdr>
                              <w:shd w:val="clear" w:color="auto" w:fill="000000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1"/>
                                <w:szCs w:val="11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E8E8E8"/>
                                <w:spacing w:val="0"/>
                                <w:w w:val="100"/>
                                <w:position w:val="0"/>
                                <w:sz w:val="11"/>
                                <w:szCs w:val="11"/>
                                <w:shd w:val="clear" w:color="auto" w:fill="auto"/>
                                <w:lang w:val="ru-RU" w:eastAsia="ru-RU" w:bidi="ru-RU"/>
                              </w:rPr>
                              <w:t>СВЕДЕНИЯ О СЕРТИФИКАТЕ ЭП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3" type="#_x0000_t202" style="position:absolute;margin-left:245.95000000000002pt;margin-top:36.700000000000003pt;width:100.8pt;height:8.1500000000000004pt;z-index:251657735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pBdr>
                          <w:top w:val="single" w:sz="0" w:space="0" w:color="000000"/>
                          <w:left w:val="single" w:sz="0" w:space="0" w:color="000000"/>
                          <w:bottom w:val="single" w:sz="0" w:space="0" w:color="000000"/>
                          <w:right w:val="single" w:sz="0" w:space="0" w:color="000000"/>
                        </w:pBdr>
                        <w:shd w:val="clear" w:color="auto" w:fill="000000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11"/>
                          <w:szCs w:val="11"/>
                        </w:rPr>
                      </w:pPr>
                      <w:r>
                        <w:rPr>
                          <w:b/>
                          <w:bCs/>
                          <w:color w:val="E8E8E8"/>
                          <w:spacing w:val="0"/>
                          <w:w w:val="100"/>
                          <w:position w:val="0"/>
                          <w:sz w:val="11"/>
                          <w:szCs w:val="11"/>
                          <w:shd w:val="clear" w:color="auto" w:fill="auto"/>
                          <w:lang w:val="ru-RU" w:eastAsia="ru-RU" w:bidi="ru-RU"/>
                        </w:rPr>
                        <w:t>СВЕДЕНИЯ О СЕРТИФИКАТЕ ЭП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90" behindDoc="0" locked="0" layoutInCell="1" allowOverlap="1">
                <wp:simplePos x="0" y="0"/>
                <wp:positionH relativeFrom="page">
                  <wp:posOffset>3081020</wp:posOffset>
                </wp:positionH>
                <wp:positionV relativeFrom="paragraph">
                  <wp:posOffset>154940</wp:posOffset>
                </wp:positionV>
                <wp:extent cx="1722120" cy="255905"/>
                <wp:wrapNone/>
                <wp:docPr id="29" name="Shape 2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59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18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Подлинник электронного документа, подписанного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ЭП, 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хранится в системе электронного документооборота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ФАС 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5" type="#_x0000_t202" style="position:absolute;margin-left:242.59999999999999pt;margin-top:12.200000000000001pt;width:135.59999999999999pt;height:20.150000000000002pt;z-index:251657737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18" w:lineRule="auto"/>
                        <w:ind w:left="0" w:right="0" w:firstLine="0"/>
                        <w:jc w:val="left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Подлинник электронного документа, подписанного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ЭП, </w:t>
                      </w: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хранится в системе электронного документооборота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ФАС </w:t>
                      </w: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А.С. Вишнякова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76" w:lineRule="auto"/>
        <w:ind w:left="3100" w:right="0" w:firstLine="20"/>
        <w:jc w:val="left"/>
        <w:rPr>
          <w:sz w:val="12"/>
          <w:szCs w:val="12"/>
        </w:rPr>
      </w:pPr>
      <w:r>
        <w:rPr>
          <w:rFonts w:ascii="Arial" w:eastAsia="Arial" w:hAnsi="Arial" w:cs="Arial"/>
          <w:color w:val="5E5E5E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Кому </w:t>
      </w:r>
      <w:r>
        <w:rPr>
          <w:rFonts w:ascii="Arial" w:eastAsia="Arial" w:hAnsi="Arial" w:cs="Arial"/>
          <w:color w:val="000000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выдан: </w:t>
      </w:r>
      <w:r>
        <w:rPr>
          <w:rFonts w:ascii="Arial" w:eastAsia="Arial" w:hAnsi="Arial" w:cs="Arial"/>
          <w:color w:val="000000"/>
          <w:spacing w:val="0"/>
          <w:w w:val="100"/>
          <w:position w:val="0"/>
          <w:sz w:val="11"/>
          <w:szCs w:val="11"/>
          <w:shd w:val="clear" w:color="auto" w:fill="auto"/>
          <w:lang w:val="ru-RU" w:eastAsia="ru-RU" w:bidi="ru-RU"/>
        </w:rPr>
        <w:t xml:space="preserve">Вишнякова Александра Сергеевна </w:t>
      </w:r>
      <w:r>
        <w:rPr>
          <w:rFonts w:ascii="Arial" w:eastAsia="Arial" w:hAnsi="Arial" w:cs="Arial"/>
          <w:color w:val="5E5E5E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Сертификат </w:t>
      </w:r>
      <w:r>
        <w:rPr>
          <w:rFonts w:ascii="Arial" w:eastAsia="Arial" w:hAnsi="Arial" w:cs="Arial"/>
          <w:color w:val="000000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№ </w:t>
      </w:r>
      <w:r>
        <w:rPr>
          <w:rFonts w:ascii="Arial" w:eastAsia="Arial" w:hAnsi="Arial" w:cs="Arial"/>
          <w:color w:val="5E5E5E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>4ЕВ9ЕЕВВЕА345ЕЕЕВО657Е958265СС1</w:t>
      </w:r>
      <w:r>
        <w:rPr>
          <w:rFonts w:ascii="Arial" w:eastAsia="Arial" w:hAnsi="Arial" w:cs="Arial"/>
          <w:color w:val="000000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>1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2180" w:line="276" w:lineRule="auto"/>
        <w:ind w:left="3100" w:right="0" w:firstLine="20"/>
        <w:jc w:val="left"/>
        <w:rPr>
          <w:sz w:val="12"/>
          <w:szCs w:val="12"/>
        </w:rPr>
      </w:pPr>
      <w:r>
        <w:rPr>
          <w:rFonts w:ascii="Arial" w:eastAsia="Arial" w:hAnsi="Arial" w:cs="Arial"/>
          <w:color w:val="5E5E5E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Действителен </w:t>
      </w:r>
      <w:r>
        <w:rPr>
          <w:rFonts w:ascii="Arial" w:eastAsia="Arial" w:hAnsi="Arial" w:cs="Arial"/>
          <w:color w:val="000000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с </w:t>
      </w:r>
      <w:r>
        <w:rPr>
          <w:rFonts w:ascii="Arial" w:eastAsia="Arial" w:hAnsi="Arial" w:cs="Arial"/>
          <w:color w:val="5E5E5E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28.11.2022 </w:t>
      </w:r>
      <w:r>
        <w:rPr>
          <w:rFonts w:ascii="Arial" w:eastAsia="Arial" w:hAnsi="Arial" w:cs="Arial"/>
          <w:color w:val="000000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>по 21.02.2024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18"/>
          <w:szCs w:val="18"/>
        </w:rPr>
      </w:pPr>
      <w:r>
        <w:rPr>
          <w:color w:val="000000"/>
          <w:spacing w:val="0"/>
          <w:w w:val="100"/>
          <w:position w:val="0"/>
          <w:sz w:val="18"/>
          <w:szCs w:val="18"/>
          <w:shd w:val="clear" w:color="auto" w:fill="auto"/>
          <w:lang w:val="ru-RU" w:eastAsia="ru-RU" w:bidi="ru-RU"/>
        </w:rPr>
        <w:t>Исп.Вишнякова А.С.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80" w:line="240" w:lineRule="auto"/>
        <w:ind w:left="0" w:right="0" w:firstLine="0"/>
        <w:jc w:val="left"/>
        <w:rPr>
          <w:sz w:val="18"/>
          <w:szCs w:val="18"/>
        </w:rPr>
      </w:pPr>
      <w:r>
        <w:rPr>
          <w:color w:val="000000"/>
          <w:spacing w:val="0"/>
          <w:w w:val="100"/>
          <w:position w:val="0"/>
          <w:sz w:val="18"/>
          <w:szCs w:val="18"/>
          <w:shd w:val="clear" w:color="auto" w:fill="auto"/>
          <w:lang w:val="ru-RU" w:eastAsia="ru-RU" w:bidi="ru-RU"/>
        </w:rPr>
        <w:t>тел.(863) 240-86-88, вн.161-132</w:t>
      </w:r>
    </w:p>
    <w:sectPr>
      <w:footnotePr>
        <w:pos w:val="pageBottom"/>
        <w:numFmt w:val="decimal"/>
        <w:numRestart w:val="continuous"/>
      </w:footnotePr>
      <w:type w:val="continuous"/>
      <w:pgSz w:w="11900" w:h="16840"/>
      <w:pgMar w:top="1110" w:right="546" w:bottom="1110" w:left="1106" w:header="0" w:footer="3" w:gutter="0"/>
      <w:cols w:space="720"/>
      <w:noEndnote/>
      <w:rtlGutter w:val="0"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0" behindDoc="1" locked="0" layoutInCell="1" allowOverlap="1">
              <wp:simplePos x="0" y="0"/>
              <wp:positionH relativeFrom="page">
                <wp:posOffset>721995</wp:posOffset>
              </wp:positionH>
              <wp:positionV relativeFrom="page">
                <wp:posOffset>10016490</wp:posOffset>
              </wp:positionV>
              <wp:extent cx="572770" cy="100330"/>
              <wp:wrapNone/>
              <wp:docPr id="9" name="Shape 9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572770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7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24"/>
                              <w:szCs w:val="24"/>
                              <w:shd w:val="clear" w:color="auto" w:fill="auto"/>
                              <w:lang w:val="ru-RU" w:eastAsia="ru-RU" w:bidi="ru-RU"/>
                            </w:rPr>
                            <w:t>2024-370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5" type="#_x0000_t202" style="position:absolute;margin-left:56.850000000000001pt;margin-top:788.70000000000005pt;width:45.100000000000001pt;height:7.9000000000000004pt;z-index:-18874406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7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24"/>
                        <w:szCs w:val="24"/>
                        <w:shd w:val="clear" w:color="auto" w:fill="auto"/>
                        <w:lang w:val="ru-RU" w:eastAsia="ru-RU" w:bidi="ru-RU"/>
                      </w:rPr>
                      <w:t>2024-370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bullet"/>
      <w:lvlText w:val="-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 w:bidi="ru-RU"/>
      </w:rPr>
    </w:lvl>
  </w:abstractNum>
  <w:num w:numId="1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default="1" w:styleId="DefaultParagraphFont">
    <w:name w:val="Default Paragraph Font"/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customStyle="1" w:styleId="CharStyle3">
    <w:name w:val="Другое_"/>
    <w:basedOn w:val="DefaultParagraphFont"/>
    <w:link w:val="Style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CharStyle11">
    <w:name w:val="Основной текст_"/>
    <w:basedOn w:val="DefaultParagraphFont"/>
    <w:link w:val="Style1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CharStyle14">
    <w:name w:val="Подпись к картинке_"/>
    <w:basedOn w:val="DefaultParagraphFont"/>
    <w:link w:val="Style1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242424"/>
      <w:sz w:val="12"/>
      <w:szCs w:val="12"/>
      <w:u w:val="none"/>
    </w:rPr>
  </w:style>
  <w:style w:type="character" w:customStyle="1" w:styleId="CharStyle18">
    <w:name w:val="Колонтитул (2)_"/>
    <w:basedOn w:val="DefaultParagraphFont"/>
    <w:link w:val="Style1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CharStyle21">
    <w:name w:val="Заголовок №1_"/>
    <w:basedOn w:val="DefaultParagraphFont"/>
    <w:link w:val="Style2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u w:val="none"/>
    </w:rPr>
  </w:style>
  <w:style w:type="character" w:customStyle="1" w:styleId="CharStyle30">
    <w:name w:val="Подпись к таблице_"/>
    <w:basedOn w:val="DefaultParagraphFont"/>
    <w:link w:val="Style29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paragraph" w:customStyle="1" w:styleId="Style2">
    <w:name w:val="Другое"/>
    <w:basedOn w:val="Normal"/>
    <w:link w:val="CharStyle3"/>
    <w:pPr>
      <w:widowControl w:val="0"/>
      <w:shd w:val="clear" w:color="auto" w:fill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paragraph" w:customStyle="1" w:styleId="Style10">
    <w:name w:val="Основной текст"/>
    <w:basedOn w:val="Normal"/>
    <w:link w:val="CharStyle11"/>
    <w:pPr>
      <w:widowControl w:val="0"/>
      <w:shd w:val="clear" w:color="auto" w:fill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paragraph" w:customStyle="1" w:styleId="Style13">
    <w:name w:val="Подпись к картинке"/>
    <w:basedOn w:val="Normal"/>
    <w:link w:val="CharStyle14"/>
    <w:pPr>
      <w:widowControl w:val="0"/>
      <w:shd w:val="clear" w:color="auto" w:fill="auto"/>
      <w:spacing w:line="216" w:lineRule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242424"/>
      <w:sz w:val="12"/>
      <w:szCs w:val="12"/>
      <w:u w:val="none"/>
    </w:rPr>
  </w:style>
  <w:style w:type="paragraph" w:customStyle="1" w:styleId="Style17">
    <w:name w:val="Колонтитул (2)"/>
    <w:basedOn w:val="Normal"/>
    <w:link w:val="CharStyle18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20">
    <w:name w:val="Заголовок №1"/>
    <w:basedOn w:val="Normal"/>
    <w:link w:val="CharStyle21"/>
    <w:pPr>
      <w:widowControl w:val="0"/>
      <w:shd w:val="clear" w:color="auto" w:fill="auto"/>
      <w:jc w:val="center"/>
      <w:outlineLvl w:val="0"/>
    </w:pPr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u w:val="none"/>
    </w:rPr>
  </w:style>
  <w:style w:type="paragraph" w:customStyle="1" w:styleId="Style29">
    <w:name w:val="Подпись к таблице"/>
    <w:basedOn w:val="Normal"/>
    <w:link w:val="CharStyle30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footer" Target="footer1.xml"/><Relationship Id="rId6" Type="http://schemas.openxmlformats.org/officeDocument/2006/relationships/image" Target="media/image1.jpeg"/><Relationship Id="rId7" Type="http://schemas.openxmlformats.org/officeDocument/2006/relationships/image" Target="media/image1.jpeg" TargetMode="External"/><Relationship Id="rId8" Type="http://schemas.openxmlformats.org/officeDocument/2006/relationships/image" Target="media/image2.jpeg"/><Relationship Id="rId9" Type="http://schemas.openxmlformats.org/officeDocument/2006/relationships/image" Target="media/image2.jpeg" TargetMode="External"/><Relationship Id="rId10" Type="http://schemas.openxmlformats.org/officeDocument/2006/relationships/image" Target="media/image3.jpeg"/><Relationship Id="rId11" Type="http://schemas.openxmlformats.org/officeDocument/2006/relationships/image" Target="media/image3.jpeg" TargetMode="External"/></Relationships>
</file>