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14" w:val="left"/>
          <w:tab w:pos="253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7.01.2024</w:t>
      </w:r>
      <w:r>
        <w:fldChar w:fldCharType="end"/>
      </w:r>
      <w:r>
        <w:rPr>
          <w:color w:val="000000"/>
          <w:spacing w:val="0"/>
          <w:w w:val="100"/>
          <w:position w:val="0"/>
          <w:sz w:val="30"/>
          <w:szCs w:val="30"/>
          <w:u w:val="single"/>
          <w:shd w:val="clear" w:color="auto" w:fill="auto"/>
          <w:lang w:val="ru-RU" w:eastAsia="ru-RU" w:bidi="ru-RU"/>
        </w:rPr>
        <w:tab/>
        <w:t>№</w:t>
        <w:tab/>
        <w:t>1288/24</w:t>
      </w:r>
    </w:p>
    <w:p>
      <w:pPr>
        <w:pStyle w:val="Style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«МЕГАПОЛИС»</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теда.роК8.2020@тай.ги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«ГКБ им Е.О. Мухина ДЗМ»</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1огдьтикта@тай.ги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290" w:bottom="708" w:left="1140" w:header="0" w:footer="3" w:gutter="0"/>
          <w:pgNumType w:start="1"/>
          <w:cols w:num="2" w:space="1061"/>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75" w:right="0" w:bottom="885" w:left="0" w:header="0" w:footer="3" w:gutter="0"/>
          <w:cols w:space="720"/>
          <w:noEndnote/>
          <w:rtlGutter w:val="0"/>
          <w:docGrid w:linePitch="360"/>
        </w:sectPr>
      </w:pPr>
    </w:p>
    <w:p>
      <w:pPr>
        <w:pStyle w:val="Style12"/>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9"/>
        <w:keepNext w:val="0"/>
        <w:keepLines w:val="0"/>
        <w:widowControl w:val="0"/>
        <w:shd w:val="clear" w:color="auto" w:fill="auto"/>
        <w:tabs>
          <w:tab w:pos="8866"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077/06/106-612/2024 о нарушении</w:t>
        <w:br/>
        <w:t>законодательства о контрактной системе</w:t>
        <w:br/>
        <w:t>12.01.2024</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специалиста-эксперта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tabs>
          <w:tab w:pos="3700" w:val="left"/>
          <w:tab w:pos="4886" w:val="left"/>
          <w:tab w:pos="6777" w:val="left"/>
          <w:tab w:pos="922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М.О. Мацневой,</w:t>
      </w:r>
    </w:p>
    <w:p>
      <w:pPr>
        <w:pStyle w:val="Style9"/>
        <w:keepNext w:val="0"/>
        <w:keepLines w:val="0"/>
        <w:widowControl w:val="0"/>
        <w:shd w:val="clear" w:color="auto" w:fill="auto"/>
        <w:tabs>
          <w:tab w:pos="3700" w:val="left"/>
          <w:tab w:pos="4886" w:val="left"/>
          <w:tab w:pos="6777" w:val="left"/>
          <w:tab w:pos="922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М.В. Сорбучевой,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 проводилось дистанционно (посредством видео-конференц связи), 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«МЕГАПОЛИС»: Шарафетдиновой Е.Л. (по доверенности №б/н от 09.01.2024);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«ГКБ им Е.О. Мухина ДЗМ»: Деминой К.И. (по доверенности № б/н от 10.01.2024),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жалобы ООО «МЕГАПОЛИС» (далее — Заявитель) на действия ГБУЗ «ГКБ им Е.О. Мухина ДЗМ» (далее — Заказчик) при проведении электронных конкурсов на право заключения контракта на поставку продуктов питания для нужд ГБУЗ «ГКБ имени Е.О. Мухина ДЗМ» в 2024 г. (Закупки №№ 0373200113423000397, 0373200113423000396, 0373200113423000399) (далее —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114300" distB="0" distL="0" distR="0" simplePos="0" relativeHeight="125829378" behindDoc="0" locked="0" layoutInCell="1" allowOverlap="1">
            <wp:simplePos x="0" y="0"/>
            <wp:positionH relativeFrom="page">
              <wp:posOffset>717550</wp:posOffset>
            </wp:positionH>
            <wp:positionV relativeFrom="paragraph">
              <wp:posOffset>114300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УСТАНОВЛЕНО: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комиссии по осуществлению закупок Заказчика (далее - комиссия Заказчика) при проведении конкурсов.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 Заявитель указывает, что комиссией Заказчика нарушен порядок оценки заявки Заявителя по детализирующему показателю «Характеристика квалификации участников закупки (общая цена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предмет жалобы о присвоении результатов оценки по критерию «Квалификация участников закупки»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Комиссией Управления проводится проверка действий комиссии Заказчика в части применения установленного в извещении порядка оценки заявок на участие в конкурсах.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П.4 ч.2 ст.42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извещением о проведении открытого конкурса в электронной форме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согласно извещениям об осуществлении закупок Заказчиком установлен, в том числе следующий порядок оценки заявок участников закупок критерию «Квалификация участников закупки», показателя «Наличие у участников закупки опыта поставки товара, выполнения работы, оказания услуги, связанного с предметом контракта», детализирующего показателя «Характеристика квалификации участников закупки (общая цена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 xml:space="preserve">Оценивается предложение участника об общей цене исполненных </w:t>
      </w:r>
      <w:r>
        <w:rPr>
          <w:i/>
          <w:iCs/>
          <w:color w:val="000000"/>
          <w:spacing w:val="0"/>
          <w:w w:val="100"/>
          <w:position w:val="0"/>
          <w:shd w:val="clear" w:color="auto" w:fill="auto"/>
          <w:lang w:val="ru-RU" w:eastAsia="ru-RU" w:bidi="ru-RU"/>
        </w:rPr>
        <w:t>участником закупки контрактов (договоров) за последние 5 лет, предшествующие дате окончания срока подачи заявок на участие в настоящем конкурсе (оценивается суммарный объем поставки товаров по исполненным участником закупки контрактам (договорам), связанным с предметом контракта (договора), заключаемого по результатам проведения закупки, исчисляемый в рублях).</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Под поставкой товаров, связанных с предметом контракта, заключаемого по результатам проведения закупки, понимается поставка продуктов питания и (или) оказание услуг по организации питания (в рамках которых проводилась поставка продуктов питания).</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Опыт участника по поставке товаров, связанных с предметом контракта, подтверждается следующими документами, направленными в форме электронных документов или в форме электронных образов бумажных документов:</w:t>
      </w:r>
    </w:p>
    <w:p>
      <w:pPr>
        <w:pStyle w:val="Style9"/>
        <w:keepNext w:val="0"/>
        <w:keepLines w:val="0"/>
        <w:widowControl w:val="0"/>
        <w:numPr>
          <w:ilvl w:val="0"/>
          <w:numId w:val="1"/>
        </w:numPr>
        <w:shd w:val="clear" w:color="auto" w:fill="auto"/>
        <w:tabs>
          <w:tab w:pos="912"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исполненный договор;</w:t>
      </w:r>
    </w:p>
    <w:p>
      <w:pPr>
        <w:pStyle w:val="Style9"/>
        <w:keepNext w:val="0"/>
        <w:keepLines w:val="0"/>
        <w:widowControl w:val="0"/>
        <w:numPr>
          <w:ilvl w:val="0"/>
          <w:numId w:val="1"/>
        </w:numPr>
        <w:shd w:val="clear" w:color="auto" w:fill="auto"/>
        <w:tabs>
          <w:tab w:pos="880"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акт (документ о приемке) поставленного товара (в том числе УПД, ТОРГ- 12), подтверждающий цену поставки товаров.</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постановлением Правительства Российской Федерации от 31.12.2021 № 2604, должен быть подписан не ранее чем за 5 лет до даты окончания срока подачи заявок.</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 оценке принимается исключительно исполненный договор(ы), при исполнении которого(-ых) поставщиком (подрядчиком, исполнителем) исполнены требования об уплате неустоек (штрафов, пеней) (в случае начисления неустоек).</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поставки товаров).</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При этом представленные документы должны быть в виде неповторяющихся, полно читаемых копий, на которых видны необходимые сведения, подписи и печати.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9"/>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575" w:right="547" w:bottom="885" w:left="1096" w:header="0" w:footer="3" w:gutter="0"/>
          <w:cols w:space="720"/>
          <w:noEndnote/>
          <w:rtlGutter w:val="0"/>
          <w:docGrid w:linePitch="360"/>
        </w:sectPr>
      </w:pPr>
      <w:r>
        <w:rPr>
          <w:i/>
          <w:iCs/>
          <w:color w:val="000000"/>
          <w:spacing w:val="0"/>
          <w:w w:val="100"/>
          <w:position w:val="0"/>
          <w:shd w:val="clear" w:color="auto" w:fill="auto"/>
          <w:lang w:val="ru-RU" w:eastAsia="ru-RU" w:bidi="ru-RU"/>
        </w:rPr>
        <w:t>В случае если контракты заключены в электронной форме, опыт может быть подтвержден размещенными на сайте Единой информационной системы в сфере закупок еакирк1.дое.ги «Информацией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участника закупки опыта работы, связанного с предметом контракта (договора)», содержащей данные о реестровом номере закупки, номере контракта, дате заключения, предмете, сумме контракта, дате исполнения контракта.</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Рекомендуемая форма «Сводные сведения о наличии у участника закупки опыта работы, связанного с предметом контракта (договора)» приведена в Приложении к настоящим критериям оценки заявок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Непредоставление в составе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заявки на участие в конкурсе либо информацией, размещенной на сайте Единой информационной системы в сфере закупок ^акирк). доV. ги.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9"/>
        <w:keepNext w:val="0"/>
        <w:keepLines w:val="0"/>
        <w:widowControl w:val="0"/>
        <w:numPr>
          <w:ilvl w:val="0"/>
          <w:numId w:val="3"/>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9"/>
        <w:keepNext w:val="0"/>
        <w:keepLines w:val="0"/>
        <w:widowControl w:val="0"/>
        <w:numPr>
          <w:ilvl w:val="0"/>
          <w:numId w:val="5"/>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9"/>
        <w:keepNext w:val="0"/>
        <w:keepLines w:val="0"/>
        <w:widowControl w:val="0"/>
        <w:numPr>
          <w:ilvl w:val="0"/>
          <w:numId w:val="5"/>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9"/>
        <w:keepNext w:val="0"/>
        <w:keepLines w:val="0"/>
        <w:widowControl w:val="0"/>
        <w:numPr>
          <w:ilvl w:val="0"/>
          <w:numId w:val="3"/>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протоколам рассмотрения и оценки вторых частей заявок на участие в открытых конкурсах в электронной форме от 27.12.2023 №ПРОШ при оценке вторых частей заявок ООО «МЕГАПОЛИС» (Идентификационный номер заявок 1), в том числе, присвоено 0 баллов по критерию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
    <w:p>
      <w:pPr>
        <w:pStyle w:val="Style9"/>
        <w:keepNext w:val="0"/>
        <w:keepLines w:val="0"/>
        <w:widowControl w:val="0"/>
        <w:shd w:val="clear" w:color="auto" w:fill="auto"/>
        <w:bidi w:val="0"/>
        <w:spacing w:before="0" w:after="0" w:line="288" w:lineRule="auto"/>
        <w:ind w:left="0" w:right="0" w:firstLine="720"/>
        <w:jc w:val="both"/>
        <w:rPr>
          <w:sz w:val="20"/>
          <w:szCs w:val="20"/>
        </w:rPr>
      </w:pPr>
      <w:r>
        <w:rPr>
          <w:color w:val="000000"/>
          <w:spacing w:val="0"/>
          <w:w w:val="100"/>
          <w:position w:val="0"/>
          <w:sz w:val="28"/>
          <w:szCs w:val="28"/>
          <w:shd w:val="clear" w:color="auto" w:fill="auto"/>
          <w:lang w:val="ru-RU" w:eastAsia="ru-RU" w:bidi="ru-RU"/>
        </w:rPr>
        <w:t xml:space="preserve">Согласно ч.2 ст.48 Закона о контрактной системе заявка на участие в закупке состоит из трех частей, при этом вторая часть должна содержать информацию и документы, предусмотренные пп.«м» - «р» п.1, пп «в» п.2, п.5 ч.1 ст.43 Закона о </w:t>
      </w:r>
      <w:r>
        <w:rPr>
          <w:rFonts w:ascii="Cambria" w:eastAsia="Cambria" w:hAnsi="Cambria" w:cs="Cambria"/>
          <w:color w:val="000000"/>
          <w:spacing w:val="0"/>
          <w:w w:val="100"/>
          <w:position w:val="0"/>
          <w:sz w:val="20"/>
          <w:szCs w:val="20"/>
          <w:shd w:val="clear" w:color="auto" w:fill="auto"/>
          <w:lang w:val="ru-RU" w:eastAsia="ru-RU" w:bidi="ru-RU"/>
        </w:rPr>
        <w:t>2024-1632</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пп.«р» п.1 ч.1 ст.43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9"/>
        <w:keepNext w:val="0"/>
        <w:keepLines w:val="0"/>
        <w:widowControl w:val="0"/>
        <w:shd w:val="clear" w:color="auto" w:fill="auto"/>
        <w:tabs>
          <w:tab w:pos="840" w:val="left"/>
          <w:tab w:pos="6662" w:val="left"/>
          <w:tab w:pos="7483" w:val="left"/>
          <w:tab w:pos="83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 Заявитель указывает, что Заказчиком установлено предельное максимальное значение квалификации участника закупки в размере 108 000</w:t>
        <w:tab/>
        <w:t>000 (закупка №0373200113423000396),</w:t>
        <w:tab/>
        <w:t>103</w:t>
        <w:tab/>
        <w:t>000</w:t>
        <w:tab/>
        <w:t>000 (закупка</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№0373200113423000397), 4 971 508, 30 (закупка №0373200113423000399) рублей.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Заказчика нарушен порядок оценки заявки Заявителя, поскольку в составе заявок представлены сведения об исполнении 260 контрактов и договоров, заключенных и исполненных в соответствии с Законом о контрактной системе и Законе о закупках. Кроме того, в составе заявок присутствуют документы: копии контрактов, договоров и документы, подтверждающие приемку товара. Совокупное предложение об опыте: 1 605 412 934,67 рублей.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в составе жалоб указывает, что общая стоимость только данных 16 контрактов составляет 197 553 419,15 рублей, что превышает установленное Заказчиком предельное максимальное значение, что означает, что заявке Участника должен был быть присвоен максимальный балл по критерию «Квалификация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для выяснения обстоятельств рассматриваемого дела объявлен перерыв в рассмотрении жалоб для предоставления Заказчиком сведений о принятых и не принятых контрактах по опыту Заявителя.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участником ООО «Мегаполис» представлен список в нередактируемом формате Р1Ж что затрудняло проверку достоверности представленных сведений. Также, ООО «Мегаполис» в составе заявок приложены 67 архивов с документами, подтверждающими заявленные сведения по критерию. Наименование архивов содержит только порядковый номер, без каких-либо дополнительных обозначений, которые могли бы позволить однозначно понять, в каком именно архиве находятся те или иные документы.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Ввиду вышеизложенного, проверка достоверности представленных сведений заняла значительное количество времени и человеческих ресурсов. В связи с этим, по технической ошибке контракты, соответствующие порядку оценки, были пропущены.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отмечает, что комиссией Заказчика учтены сведения из заявок Заявителя в не полном объеме, при этом, неучтенные комиссией Заказчика контракты полностью подтверждают опыт ООО «Мегаполис».</w:t>
      </w:r>
    </w:p>
    <w:p>
      <w:pPr>
        <w:pStyle w:val="Style9"/>
        <w:keepNext w:val="0"/>
        <w:keepLines w:val="0"/>
        <w:widowControl w:val="0"/>
        <w:shd w:val="clear" w:color="auto" w:fill="auto"/>
        <w:bidi w:val="0"/>
        <w:spacing w:before="0" w:after="0" w:line="310" w:lineRule="auto"/>
        <w:ind w:left="0" w:right="0" w:firstLine="700"/>
        <w:jc w:val="both"/>
        <w:rPr>
          <w:sz w:val="20"/>
          <w:szCs w:val="20"/>
        </w:rPr>
        <w:sectPr>
          <w:headerReference w:type="default" r:id="rId13"/>
          <w:footerReference w:type="default" r:id="rId14"/>
          <w:footnotePr>
            <w:pos w:val="pageBottom"/>
            <w:numFmt w:val="decimal"/>
            <w:numRestart w:val="continuous"/>
          </w:footnotePr>
          <w:pgSz w:w="11900" w:h="16840"/>
          <w:pgMar w:top="1162" w:right="541" w:bottom="658" w:left="1087" w:header="0" w:footer="23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вышеизложенного Комиссия Управления приходит к выводу о нарушении комиссией Заказчика ч.11 ст.48 Закона о контрактной системе при </w:t>
      </w:r>
      <w:r>
        <w:rPr>
          <w:rFonts w:ascii="Cambria" w:eastAsia="Cambria" w:hAnsi="Cambria" w:cs="Cambria"/>
          <w:color w:val="000000"/>
          <w:spacing w:val="0"/>
          <w:w w:val="100"/>
          <w:position w:val="0"/>
          <w:sz w:val="20"/>
          <w:szCs w:val="20"/>
          <w:shd w:val="clear" w:color="auto" w:fill="auto"/>
          <w:lang w:val="ru-RU" w:eastAsia="ru-RU" w:bidi="ru-RU"/>
        </w:rPr>
        <w:t>2024-1632</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оценке заявок Заявителя не в полном объеме по по детализирующему показателю «Характеристика квалификации участников закупки (общая цена исполненных участником закупки договоров)», исходя из сведений заявок и протоколов рассмотрения и оценки вторых частей заявок на участие в открытых конкурсах в электронной форме от 27.12.2023 №ПРОШ, что также указывает на признаки нарушения ч.2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42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жалобы ООО «Мегаполис» на действия комиссии ГБУЗ «ГКБ им Е.О. Мухина ДЗМ» обоснованными.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2.Признать в действиях комиссии Заказчика ч.11 ст.48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200" w:line="240"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27" w:bottom="1167" w:left="1106" w:header="0" w:footer="3" w:gutter="0"/>
          <w:cols w:space="720"/>
          <w:noEndnote/>
          <w:rtlGutter w:val="0"/>
          <w:docGrid w:linePitch="360"/>
        </w:sectPr>
      </w:pPr>
      <w:r>
        <mc:AlternateContent>
          <mc:Choice Requires="wps">
            <w:drawing>
              <wp:anchor distT="127000" distB="356235" distL="0" distR="0" simplePos="0" relativeHeight="125829379" behindDoc="0" locked="0" layoutInCell="1" allowOverlap="1">
                <wp:simplePos x="0" y="0"/>
                <wp:positionH relativeFrom="page">
                  <wp:posOffset>735965</wp:posOffset>
                </wp:positionH>
                <wp:positionV relativeFrom="paragraph">
                  <wp:posOffset>127000</wp:posOffset>
                </wp:positionV>
                <wp:extent cx="1850390" cy="250190"/>
                <wp:wrapTopAndBottom/>
                <wp:docPr id="16" name="Shape 16"/>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7.950000000000003pt;margin-top:10.pt;width:145.70000000000002pt;height:19.699999999999999pt;z-index:-125829374;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1" behindDoc="0" locked="0" layoutInCell="1" allowOverlap="1">
            <wp:simplePos x="0" y="0"/>
            <wp:positionH relativeFrom="page">
              <wp:posOffset>2927350</wp:posOffset>
            </wp:positionH>
            <wp:positionV relativeFrom="paragraph">
              <wp:posOffset>163830</wp:posOffset>
            </wp:positionV>
            <wp:extent cx="389890" cy="57277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3423920</wp:posOffset>
                </wp:positionH>
                <wp:positionV relativeFrom="paragraph">
                  <wp:posOffset>599440</wp:posOffset>
                </wp:positionV>
                <wp:extent cx="1280160" cy="103505"/>
                <wp:wrapNone/>
                <wp:docPr id="20" name="Shape 20"/>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69.60000000000002pt;margin-top:47.200000000000003pt;width:100.8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3378200</wp:posOffset>
                </wp:positionH>
                <wp:positionV relativeFrom="paragraph">
                  <wp:posOffset>288925</wp:posOffset>
                </wp:positionV>
                <wp:extent cx="1725295" cy="255905"/>
                <wp:wrapNone/>
                <wp:docPr id="22" name="Shape 2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66.pt;margin-top:22.75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2" behindDoc="0" locked="0" layoutInCell="1" allowOverlap="1">
                <wp:simplePos x="0" y="0"/>
                <wp:positionH relativeFrom="page">
                  <wp:posOffset>5856605</wp:posOffset>
                </wp:positionH>
                <wp:positionV relativeFrom="paragraph">
                  <wp:posOffset>127000</wp:posOffset>
                </wp:positionV>
                <wp:extent cx="1313815" cy="250190"/>
                <wp:wrapTopAndBottom/>
                <wp:docPr id="24" name="Shape 24"/>
                <a:graphic xmlns:a="http://schemas.openxmlformats.org/drawingml/2006/main">
                  <a:graphicData uri="http://schemas.microsoft.com/office/word/2010/wordprocessingShape">
                    <wps:wsp>
                      <wps:cNvSpPr txBox="1"/>
                      <wps:spPr>
                        <a:xfrm>
                          <a:ext cx="131381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50" type="#_x0000_t202" style="position:absolute;margin-left:461.15000000000003pt;margin-top:10.pt;width:103.45pt;height:19.699999999999999pt;z-index:-125829371;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left="0" w:right="0" w:firstLine="0"/>
        <w:jc w:val="center"/>
      </w:pPr>
      <w:r>
        <w:rPr>
          <w:color w:val="7D7D7D"/>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23"/>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63661</w:t>
      </w:r>
      <w:r>
        <w:rPr>
          <w:color w:val="656565"/>
          <w:spacing w:val="0"/>
          <w:w w:val="100"/>
          <w:position w:val="0"/>
          <w:shd w:val="clear" w:color="auto" w:fill="auto"/>
          <w:lang w:val="ru-RU" w:eastAsia="ru-RU" w:bidi="ru-RU"/>
        </w:rPr>
        <w:t>83222Р5ОСЕ2САЗР6О732820С91</w:t>
      </w:r>
      <w:r>
        <w:rPr>
          <w:color w:val="000000"/>
          <w:spacing w:val="0"/>
          <w:w w:val="100"/>
          <w:position w:val="0"/>
          <w:shd w:val="clear" w:color="auto" w:fill="auto"/>
          <w:lang w:val="ru-RU" w:eastAsia="ru-RU" w:bidi="ru-RU"/>
        </w:rPr>
        <w:t>С</w: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23.01.2023 по 17.04.2024</w:t>
      </w:r>
    </w:p>
    <w:p>
      <w:pPr>
        <w:widowControl w:val="0"/>
        <w:spacing w:line="1" w:lineRule="exact"/>
        <w:sectPr>
          <w:footnotePr>
            <w:pos w:val="pageBottom"/>
            <w:numFmt w:val="decimal"/>
            <w:numRestart w:val="continuous"/>
          </w:footnotePr>
          <w:type w:val="continuous"/>
          <w:pgSz w:w="11900" w:h="16840"/>
          <w:pgMar w:top="1162" w:right="527" w:bottom="1167" w:left="1106" w:header="0" w:footer="3" w:gutter="0"/>
          <w:cols w:space="720"/>
          <w:noEndnote/>
          <w:rtlGutter w:val="0"/>
          <w:docGrid w:linePitch="360"/>
        </w:sectPr>
      </w:pPr>
      <w:r>
        <mc:AlternateContent>
          <mc:Choice Requires="wps">
            <w:drawing>
              <wp:anchor distT="152400" distB="359410" distL="0" distR="0" simplePos="0" relativeHeight="125829384" behindDoc="0" locked="0" layoutInCell="1" allowOverlap="1">
                <wp:simplePos x="0" y="0"/>
                <wp:positionH relativeFrom="page">
                  <wp:posOffset>735965</wp:posOffset>
                </wp:positionH>
                <wp:positionV relativeFrom="paragraph">
                  <wp:posOffset>152400</wp:posOffset>
                </wp:positionV>
                <wp:extent cx="1341120" cy="250190"/>
                <wp:wrapTopAndBottom/>
                <wp:docPr id="26" name="Shape 26"/>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2" type="#_x0000_t202" style="position:absolute;margin-left:57.950000000000003pt;margin-top:12.pt;width:105.60000000000001pt;height:19.699999999999999pt;z-index:-125829369;mso-wrap-distance-left:0;mso-wrap-distance-top:12.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89230" distB="0" distL="0" distR="1789430" simplePos="0" relativeHeight="125829386" behindDoc="0" locked="0" layoutInCell="1" allowOverlap="1">
            <wp:simplePos x="0" y="0"/>
            <wp:positionH relativeFrom="page">
              <wp:posOffset>2927350</wp:posOffset>
            </wp:positionH>
            <wp:positionV relativeFrom="paragraph">
              <wp:posOffset>189230</wp:posOffset>
            </wp:positionV>
            <wp:extent cx="389890" cy="572770"/>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3423920</wp:posOffset>
                </wp:positionH>
                <wp:positionV relativeFrom="paragraph">
                  <wp:posOffset>628015</wp:posOffset>
                </wp:positionV>
                <wp:extent cx="1280160" cy="100330"/>
                <wp:wrapNone/>
                <wp:docPr id="30" name="Shape 30"/>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CECEC"/>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69.60000000000002pt;margin-top:49.450000000000003pt;width:100.8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CECEC"/>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3378200</wp:posOffset>
                </wp:positionH>
                <wp:positionV relativeFrom="paragraph">
                  <wp:posOffset>314325</wp:posOffset>
                </wp:positionV>
                <wp:extent cx="1725295" cy="259080"/>
                <wp:wrapNone/>
                <wp:docPr id="32" name="Shape 32"/>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66.pt;margin-top:24.75pt;width:135.84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359410" distL="0" distR="0" simplePos="0" relativeHeight="125829387" behindDoc="0" locked="0" layoutInCell="1" allowOverlap="1">
                <wp:simplePos x="0" y="0"/>
                <wp:positionH relativeFrom="page">
                  <wp:posOffset>5984875</wp:posOffset>
                </wp:positionH>
                <wp:positionV relativeFrom="paragraph">
                  <wp:posOffset>152400</wp:posOffset>
                </wp:positionV>
                <wp:extent cx="1231265" cy="250190"/>
                <wp:wrapTopAndBottom/>
                <wp:docPr id="34" name="Shape 34"/>
                <a:graphic xmlns:a="http://schemas.openxmlformats.org/drawingml/2006/main">
                  <a:graphicData uri="http://schemas.microsoft.com/office/word/2010/wordprocessingShape">
                    <wps:wsp>
                      <wps:cNvSpPr txBox="1"/>
                      <wps:spPr>
                        <a:xfrm>
                          <a:ext cx="123126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Сорбучева</w:t>
                            </w:r>
                          </w:p>
                        </w:txbxContent>
                      </wps:txbx>
                      <wps:bodyPr wrap="none" lIns="0" tIns="0" rIns="0" bIns="0">
                        <a:noAutoFit/>
                      </wps:bodyPr>
                    </wps:wsp>
                  </a:graphicData>
                </a:graphic>
              </wp:anchor>
            </w:drawing>
          </mc:Choice>
          <mc:Fallback>
            <w:pict>
              <v:shape id="_x0000_s1060" type="#_x0000_t202" style="position:absolute;margin-left:471.25pt;margin-top:12.pt;width:96.950000000000003pt;height:19.699999999999999pt;z-index:-125829366;mso-wrap-distance-left:0;mso-wrap-distance-top:12.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Сорбучева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0018Е97СЕ55В5023ВСС0395Р903С1 035</w:t>
      </w:r>
    </w:p>
    <w:p>
      <w:pPr>
        <w:pStyle w:val="Style23"/>
        <w:keepNext w:val="0"/>
        <w:keepLines w:val="0"/>
        <w:widowControl w:val="0"/>
        <w:shd w:val="clear" w:color="auto" w:fill="auto"/>
        <w:bidi w:val="0"/>
        <w:spacing w:before="0" w:after="32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03.08.2023 </w:t>
      </w:r>
      <w:r>
        <w:rPr>
          <w:color w:val="656565"/>
          <w:spacing w:val="0"/>
          <w:w w:val="100"/>
          <w:position w:val="0"/>
          <w:shd w:val="clear" w:color="auto" w:fill="auto"/>
          <w:lang w:val="ru-RU" w:eastAsia="ru-RU" w:bidi="ru-RU"/>
        </w:rPr>
        <w:t>по 26.10.2024</w:t>
      </w:r>
    </w:p>
    <w:p>
      <w:pPr>
        <w:pStyle w:val="Style9"/>
        <w:keepNext w:val="0"/>
        <w:keepLines w:val="0"/>
        <w:widowControl w:val="0"/>
        <w:shd w:val="clear" w:color="auto" w:fill="auto"/>
        <w:bidi w:val="0"/>
        <w:spacing w:before="0" w:after="370" w:line="240" w:lineRule="auto"/>
        <w:ind w:left="1400" w:right="0" w:firstLine="0"/>
        <w:jc w:val="left"/>
      </w:pPr>
      <w:r>
        <w:drawing>
          <wp:anchor distT="0" distB="0" distL="114300" distR="1921510" simplePos="0" relativeHeight="125829389" behindDoc="0" locked="0" layoutInCell="1" allowOverlap="1">
            <wp:simplePos x="0" y="0"/>
            <wp:positionH relativeFrom="page">
              <wp:posOffset>2985135</wp:posOffset>
            </wp:positionH>
            <wp:positionV relativeFrom="paragraph">
              <wp:posOffset>76200</wp:posOffset>
            </wp:positionV>
            <wp:extent cx="311150" cy="365760"/>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1"/>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3378200</wp:posOffset>
                </wp:positionH>
                <wp:positionV relativeFrom="paragraph">
                  <wp:posOffset>149225</wp:posOffset>
                </wp:positionV>
                <wp:extent cx="1725295" cy="255905"/>
                <wp:wrapNone/>
                <wp:docPr id="38" name="Shape 3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66.pt;margin-top:11.75pt;width:135.84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008926921ЕВ71Р0631А2ЕР19РВВ8Р80В4Е</w:t>
      </w:r>
    </w:p>
    <w:p>
      <w:pPr>
        <w:pStyle w:val="Style23"/>
        <w:keepNext w:val="0"/>
        <w:keepLines w:val="0"/>
        <w:widowControl w:val="0"/>
        <w:shd w:val="clear" w:color="auto" w:fill="auto"/>
        <w:bidi w:val="0"/>
        <w:spacing w:before="0" w:after="74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28.03.2023 </w:t>
      </w:r>
      <w:r>
        <w:rPr>
          <w:color w:val="656565"/>
          <w:spacing w:val="0"/>
          <w:w w:val="100"/>
          <w:position w:val="0"/>
          <w:shd w:val="clear" w:color="auto" w:fill="auto"/>
          <w:lang w:val="ru-RU" w:eastAsia="ru-RU" w:bidi="ru-RU"/>
        </w:rPr>
        <w:t>по 20.06.2024</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М.О.тел.8(495)784-75-05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643255" cy="100330"/>
              <wp:wrapNone/>
              <wp:docPr id="4" name="Shape 4"/>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2024-1632</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2024-1632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648970" cy="100330"/>
              <wp:wrapNone/>
              <wp:docPr id="6" name="Shape 6"/>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2024-1632</w:t>
                          </w:r>
                        </w:p>
                      </w:txbxContent>
                    </wps:txbx>
                    <wps:bodyPr wrap="none" lIns="0" tIns="0" rIns="0" bIns="0">
                      <a:spAutoFit/>
                    </wps:bodyPr>
                  </wps:wsp>
                </a:graphicData>
              </a:graphic>
            </wp:anchor>
          </w:drawing>
        </mc:Choice>
        <mc:Fallback>
          <w:pict>
            <v:shape id="_x0000_s1032" type="#_x0000_t202" style="position:absolute;margin-left:57.pt;margin-top:804.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2024-1632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643255" cy="100330"/>
              <wp:wrapNone/>
              <wp:docPr id="14" name="Shape 14"/>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2024-1632</w:t>
                          </w:r>
                        </w:p>
                      </w:txbxContent>
                    </wps:txbx>
                    <wps:bodyPr wrap="none" lIns="0" tIns="0" rIns="0" bIns="0">
                      <a:spAutoFit/>
                    </wps:bodyPr>
                  </wps:wsp>
                </a:graphicData>
              </a:graphic>
            </wp:anchor>
          </w:drawing>
        </mc:Choice>
        <mc:Fallback>
          <w:pict>
            <v:shape id="_x0000_s1040" type="#_x0000_t202" style="position:absolute;margin-left:57.200000000000003pt;margin-top:794.70000000000005pt;width:50.64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387985</wp:posOffset>
              </wp:positionV>
              <wp:extent cx="64135" cy="103505"/>
              <wp:wrapNone/>
              <wp:docPr id="2" name="Shape 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30.550000000000001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476250</wp:posOffset>
              </wp:positionV>
              <wp:extent cx="69850" cy="103505"/>
              <wp:wrapNone/>
              <wp:docPr id="10" name="Shape 10"/>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9.44999999999999pt;margin-top:37.5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387985</wp:posOffset>
              </wp:positionV>
              <wp:extent cx="64135" cy="103505"/>
              <wp:wrapNone/>
              <wp:docPr id="12" name="Shape 1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9.19999999999999pt;margin-top:30.550000000000001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Times New Roman" w:eastAsia="Times New Roman" w:hAnsi="Times New Roman" w:cs="Times New Roman"/>
      <w:b/>
      <w:bCs/>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34343"/>
      <w:sz w:val="12"/>
      <w:szCs w:val="12"/>
      <w:u w:val="none"/>
    </w:rPr>
  </w:style>
  <w:style w:type="character" w:customStyle="1" w:styleId="CharStyle29">
    <w:name w:val="Основной текст (5)_"/>
    <w:basedOn w:val="DefaultParagraphFont"/>
    <w:link w:val="Style28"/>
    <w:rPr>
      <w:rFonts w:ascii="Georgia" w:eastAsia="Georgia" w:hAnsi="Georgia" w:cs="Georgia"/>
      <w:b w:val="0"/>
      <w:bCs w:val="0"/>
      <w:i w:val="0"/>
      <w:iCs w:val="0"/>
      <w:smallCaps w:val="0"/>
      <w:strike w:val="0"/>
      <w:color w:val="ECECEC"/>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3">
    <w:name w:val="Основной текст (2)"/>
    <w:basedOn w:val="Normal"/>
    <w:link w:val="CharStyle24"/>
    <w:pPr>
      <w:widowControl w:val="0"/>
      <w:shd w:val="clear" w:color="auto" w:fill="auto"/>
      <w:ind w:left="3580"/>
    </w:pPr>
    <w:rPr>
      <w:rFonts w:ascii="Arial" w:eastAsia="Arial" w:hAnsi="Arial" w:cs="Arial"/>
      <w:b w:val="0"/>
      <w:bCs w:val="0"/>
      <w:i w:val="0"/>
      <w:iCs w:val="0"/>
      <w:smallCaps w:val="0"/>
      <w:strike w:val="0"/>
      <w:color w:val="434343"/>
      <w:sz w:val="12"/>
      <w:szCs w:val="12"/>
      <w:u w:val="none"/>
    </w:rPr>
  </w:style>
  <w:style w:type="paragraph" w:customStyle="1" w:styleId="Style28">
    <w:name w:val="Основной текст (5)"/>
    <w:basedOn w:val="Normal"/>
    <w:link w:val="CharStyle29"/>
    <w:pPr>
      <w:widowControl w:val="0"/>
      <w:shd w:val="clear" w:color="auto" w:fill="auto"/>
      <w:spacing w:after="100"/>
      <w:jc w:val="center"/>
    </w:pPr>
    <w:rPr>
      <w:rFonts w:ascii="Georgia" w:eastAsia="Georgia" w:hAnsi="Georgia" w:cs="Georgia"/>
      <w:b w:val="0"/>
      <w:bCs w:val="0"/>
      <w:i w:val="0"/>
      <w:iCs w:val="0"/>
      <w:smallCaps w:val="0"/>
      <w:strike w:val="0"/>
      <w:color w:val="ECECEC"/>
      <w:sz w:val="12"/>
      <w:szCs w:val="12"/>
      <w:u w:val="none"/>
    </w:rPr>
  </w:style>
  <w:style w:type="paragraph" w:customStyle="1" w:styleId="Style30">
    <w:name w:val="Основной текст (4)"/>
    <w:basedOn w:val="Normal"/>
    <w:link w:val="CharStyle31"/>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