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35150" distL="1071245" distR="1059815" simplePos="0" relativeHeight="125829378" behindDoc="0" locked="0" layoutInCell="1" allowOverlap="1">
            <wp:simplePos x="0" y="0"/>
            <wp:positionH relativeFrom="page">
              <wp:posOffset>1781175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824230</wp:posOffset>
                </wp:positionH>
                <wp:positionV relativeFrom="paragraph">
                  <wp:posOffset>622300</wp:posOffset>
                </wp:positionV>
                <wp:extent cx="2414270" cy="1831975"/>
                <wp:wrapSquare wrapText="right"/>
                <wp:docPr id="3" name="Shape 3"/>
                <a:graphic xmlns:a="http://schemas.openxmlformats.org/drawingml/2006/main">
                  <a:graphicData uri="http://schemas.microsoft.com/office/word/2010/wordprocessingShape">
                    <wps:wsp>
                      <wps:cNvSpPr txBox="1"/>
                      <wps:spPr>
                        <a:xfrm>
                          <a:ext cx="2414270" cy="1831975"/>
                        </a:xfrm>
                        <a:prstGeom prst="rect"/>
                        <a:noFill/>
                      </wps:spPr>
                      <wps:txbx>
                        <w:txbxContent>
                          <w:p>
                            <w:pPr>
                              <w:pStyle w:val="Style2"/>
                              <w:keepNext w:val="0"/>
                              <w:keepLines w:val="0"/>
                              <w:widowControl w:val="0"/>
                              <w:shd w:val="clear" w:color="auto" w:fill="auto"/>
                              <w:bidi w:val="0"/>
                              <w:spacing w:before="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1о77@(а8.еоу.ги</w:t>
                            </w:r>
                          </w:p>
                          <w:p>
                            <w:pPr>
                              <w:pStyle w:val="Style6"/>
                              <w:keepNext w:val="0"/>
                              <w:keepLines w:val="0"/>
                              <w:widowControl w:val="0"/>
                              <w:shd w:val="clear" w:color="auto" w:fill="auto"/>
                              <w:tabs>
                                <w:tab w:pos="1814" w:val="left"/>
                                <w:tab w:pos="253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7.01.2024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ab/>
                            </w:r>
                            <w:r>
                              <w:rPr>
                                <w:color w:val="000000"/>
                                <w:spacing w:val="0"/>
                                <w:w w:val="100"/>
                                <w:position w:val="0"/>
                                <w:sz w:val="30"/>
                                <w:szCs w:val="30"/>
                                <w:shd w:val="clear" w:color="auto" w:fill="auto"/>
                                <w:lang w:val="ru-RU" w:eastAsia="ru-RU" w:bidi="ru-RU"/>
                              </w:rPr>
                              <w:t>1378/24</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900000000000006pt;margin-top:49.pt;width:190.09999999999999pt;height:144.25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1о77@(а8.еоу.ги</w:t>
                      </w:r>
                    </w:p>
                    <w:p>
                      <w:pPr>
                        <w:pStyle w:val="Style6"/>
                        <w:keepNext w:val="0"/>
                        <w:keepLines w:val="0"/>
                        <w:widowControl w:val="0"/>
                        <w:shd w:val="clear" w:color="auto" w:fill="auto"/>
                        <w:tabs>
                          <w:tab w:pos="1814" w:val="left"/>
                          <w:tab w:pos="253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7.01.2024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ab/>
                      </w:r>
                      <w:r>
                        <w:rPr>
                          <w:color w:val="000000"/>
                          <w:spacing w:val="0"/>
                          <w:w w:val="100"/>
                          <w:position w:val="0"/>
                          <w:sz w:val="30"/>
                          <w:szCs w:val="30"/>
                          <w:shd w:val="clear" w:color="auto" w:fill="auto"/>
                          <w:lang w:val="ru-RU" w:eastAsia="ru-RU" w:bidi="ru-RU"/>
                        </w:rPr>
                        <w:t>1378/24</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ФГБУК «ГАЦТК им. С.В. Образцова»</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1епдег@рирре1.ги</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ИП Чернова Е.В.</w:t>
      </w:r>
    </w:p>
    <w:p>
      <w:pPr>
        <w:pStyle w:val="Style6"/>
        <w:keepNext w:val="0"/>
        <w:keepLines w:val="0"/>
        <w:widowControl w:val="0"/>
        <w:shd w:val="clear" w:color="auto" w:fill="auto"/>
        <w:bidi w:val="0"/>
        <w:spacing w:before="0" w:after="2100" w:line="240" w:lineRule="auto"/>
        <w:ind w:left="1140" w:right="0" w:firstLine="0"/>
        <w:jc w:val="both"/>
      </w:pPr>
      <w:r>
        <w:rPr>
          <w:color w:val="000000"/>
          <w:spacing w:val="0"/>
          <w:w w:val="100"/>
          <w:position w:val="0"/>
          <w:shd w:val="clear" w:color="auto" w:fill="auto"/>
          <w:lang w:val="ru-RU" w:eastAsia="ru-RU" w:bidi="ru-RU"/>
        </w:rPr>
        <w:t>0711424@та11.ги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794"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№077/06/106-597/2024 о нарушении</w:t>
        <w:br/>
        <w:t>законодательства о контрактной системе</w:t>
        <w:br/>
        <w:t>12.01.2024</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главного государственного инспектора отдела обжалования государственных закупок Е.А. Мироновой,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40"/>
        <w:ind w:left="0" w:right="0" w:firstLine="700"/>
        <w:jc w:val="both"/>
      </w:pPr>
      <w:r>
        <w:rPr>
          <w:color w:val="000000"/>
          <w:spacing w:val="0"/>
          <w:w w:val="100"/>
          <w:position w:val="0"/>
          <w:shd w:val="clear" w:color="auto" w:fill="auto"/>
          <w:lang w:val="ru-RU" w:eastAsia="ru-RU" w:bidi="ru-RU"/>
        </w:rPr>
        <w:t>при участии: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представителя ФГБУК «ГАЦТК им. С.В. Образцова»,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слушателя: Степаненко В.Н.</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отсутствие представителей ИП Чернова Е.В.,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6"/>
        <w:keepNext w:val="0"/>
        <w:keepLines w:val="0"/>
        <w:widowControl w:val="0"/>
        <w:shd w:val="clear" w:color="auto" w:fill="auto"/>
        <w:bidi w:val="0"/>
        <w:spacing w:before="0" w:after="240"/>
        <w:ind w:left="0" w:right="0" w:firstLine="700"/>
        <w:jc w:val="both"/>
      </w:pPr>
      <w:r>
        <w:rPr>
          <w:color w:val="000000"/>
          <w:spacing w:val="0"/>
          <w:w w:val="100"/>
          <w:position w:val="0"/>
          <w:shd w:val="clear" w:color="auto" w:fill="auto"/>
          <w:lang w:val="ru-RU" w:eastAsia="ru-RU" w:bidi="ru-RU"/>
        </w:rPr>
        <w:t xml:space="preserve">рассмотрев жалобу ИП Чернова Е.В. (далее — Заявитель) на действия ФГБУК «ГАЦТК им. С.В. Образцова» (далее — Заказчик) при проведении электронного аукциона на право заключения государственного контракта на оказание услуг по комплексному эксплуатационно-техническому обслуживанию объектов ГАЦТК им. С.В. Образцова (Закупка № 0373100041523000005)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w:t>
      </w:r>
      <w:r>
        <w:rPr>
          <w:color w:val="000000"/>
          <w:spacing w:val="0"/>
          <w:w w:val="100"/>
          <w:position w:val="0"/>
          <w:shd w:val="clear" w:color="auto" w:fill="auto"/>
          <w:lang w:val="ru-RU" w:eastAsia="ru-RU" w:bidi="ru-RU"/>
        </w:rPr>
        <w:t>муниципальных нужд» (далее - Закон о контрактной системе),</w:t>
      </w:r>
    </w:p>
    <w:p>
      <w:pPr>
        <w:pStyle w:val="Style6"/>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 результатам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составе жалобы Заявитель указывает, что в составе извещения Заказчиком неправомерно установлен запрет на допуск программного обеспечения, происходящего из иностранных государств, предусмотренный положениями Постановления Правительства РФ от 16.11.2015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в то время как объектом закупки являются услуги по эксплуатационно-техническому обслуживанию зданий, сооружений Заказчика, при этом поставка товара, в том числе программного обеспечения в рамках контракта не предусмотрена, о чем также свидетельствует отсутствие требований к программному обеспечению в составе структурированной формы извещения.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6"/>
        <w:keepNext w:val="0"/>
        <w:keepLines w:val="0"/>
        <w:widowControl w:val="0"/>
        <w:shd w:val="clear" w:color="auto" w:fill="auto"/>
        <w:bidi w:val="0"/>
        <w:spacing w:before="0" w:after="0" w:line="310"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Согласно п.15 ч.1 ст.42 Закона о контрактной системе при осуществлении закупки путем проведения открытых конкурентных способов заказчик формирует с </w:t>
      </w:r>
      <w:r>
        <w:rPr>
          <w:color w:val="000000"/>
          <w:spacing w:val="0"/>
          <w:w w:val="100"/>
          <w:position w:val="0"/>
          <w:sz w:val="24"/>
          <w:szCs w:val="24"/>
          <w:shd w:val="clear" w:color="auto" w:fill="auto"/>
          <w:lang w:val="ru-RU" w:eastAsia="ru-RU" w:bidi="ru-RU"/>
        </w:rPr>
        <w:t>2024-1594</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П.2 Постановления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об осуществлении закупки, Заказчиком установлен запрет, предусмотренный положениями Постановления №1236.</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П.2(1) Постановления №1236 установлено, что для целей применения п.2 Постановления №1236 под программным обеспечением понимают программное обеспечение и (или) права на него вследствие выполнения следующих контрактных обязательств:</w:t>
      </w:r>
    </w:p>
    <w:p>
      <w:pPr>
        <w:pStyle w:val="Style6"/>
        <w:keepNext w:val="0"/>
        <w:keepLines w:val="0"/>
        <w:widowControl w:val="0"/>
        <w:numPr>
          <w:ilvl w:val="0"/>
          <w:numId w:val="1"/>
        </w:numPr>
        <w:shd w:val="clear" w:color="auto" w:fill="auto"/>
        <w:tabs>
          <w:tab w:pos="1023" w:val="left"/>
        </w:tabs>
        <w:bidi w:val="0"/>
        <w:spacing w:before="0" w:after="0"/>
        <w:ind w:left="0" w:right="0" w:firstLine="700"/>
        <w:jc w:val="both"/>
      </w:pPr>
      <w:r>
        <w:rPr>
          <w:color w:val="000000"/>
          <w:spacing w:val="0"/>
          <w:w w:val="100"/>
          <w:position w:val="0"/>
          <w:shd w:val="clear" w:color="auto" w:fill="auto"/>
          <w:lang w:val="ru-RU" w:eastAsia="ru-RU" w:bidi="ru-RU"/>
        </w:rPr>
        <w:t>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pPr>
        <w:pStyle w:val="Style6"/>
        <w:keepNext w:val="0"/>
        <w:keepLines w:val="0"/>
        <w:widowControl w:val="0"/>
        <w:numPr>
          <w:ilvl w:val="0"/>
          <w:numId w:val="1"/>
        </w:numPr>
        <w:shd w:val="clear" w:color="auto" w:fill="auto"/>
        <w:tabs>
          <w:tab w:pos="1038" w:val="left"/>
        </w:tabs>
        <w:bidi w:val="0"/>
        <w:spacing w:before="0" w:after="0"/>
        <w:ind w:left="0" w:right="0" w:firstLine="700"/>
        <w:jc w:val="both"/>
      </w:pPr>
      <w:r>
        <w:rPr>
          <w:color w:val="000000"/>
          <w:spacing w:val="0"/>
          <w:w w:val="100"/>
          <w:position w:val="0"/>
          <w:shd w:val="clear" w:color="auto" w:fill="auto"/>
          <w:lang w:val="ru-RU" w:eastAsia="ru-RU" w:bidi="ru-RU"/>
        </w:rPr>
        <w:t>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6"/>
        <w:keepNext w:val="0"/>
        <w:keepLines w:val="0"/>
        <w:widowControl w:val="0"/>
        <w:numPr>
          <w:ilvl w:val="0"/>
          <w:numId w:val="1"/>
        </w:numPr>
        <w:shd w:val="clear" w:color="auto" w:fill="auto"/>
        <w:tabs>
          <w:tab w:pos="1028" w:val="left"/>
        </w:tabs>
        <w:bidi w:val="0"/>
        <w:spacing w:before="0" w:after="0"/>
        <w:ind w:left="0" w:right="0" w:firstLine="700"/>
        <w:jc w:val="both"/>
      </w:pPr>
      <w:r>
        <w:rPr>
          <w:color w:val="000000"/>
          <w:spacing w:val="0"/>
          <w:w w:val="100"/>
          <w:position w:val="0"/>
          <w:shd w:val="clear" w:color="auto" w:fill="auto"/>
          <w:lang w:val="ru-RU" w:eastAsia="ru-RU" w:bidi="ru-RU"/>
        </w:rPr>
        <w:t>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6"/>
        <w:keepNext w:val="0"/>
        <w:keepLines w:val="0"/>
        <w:widowControl w:val="0"/>
        <w:numPr>
          <w:ilvl w:val="0"/>
          <w:numId w:val="1"/>
        </w:numPr>
        <w:shd w:val="clear" w:color="auto" w:fill="auto"/>
        <w:tabs>
          <w:tab w:pos="1009" w:val="left"/>
        </w:tabs>
        <w:bidi w:val="0"/>
        <w:spacing w:before="0" w:after="0" w:line="290"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оказание услуг, связанных с сопровождением, технической поддержкой, обновлением программного обеспечения, в том числе в составе существующих </w:t>
      </w:r>
      <w:r>
        <w:rPr>
          <w:color w:val="000000"/>
          <w:spacing w:val="0"/>
          <w:w w:val="100"/>
          <w:position w:val="0"/>
          <w:sz w:val="24"/>
          <w:szCs w:val="24"/>
          <w:shd w:val="clear" w:color="auto" w:fill="auto"/>
          <w:lang w:val="ru-RU" w:eastAsia="ru-RU" w:bidi="ru-RU"/>
        </w:rPr>
        <w:t>2024-1594</w:t>
      </w:r>
    </w:p>
    <w:p>
      <w:pPr>
        <w:pStyle w:val="Style6"/>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об осуществлению закупки, объектом закупки является оказание услуг по комплексному эксплуатационно-техническому обслуживанию объектов ГАЦТК им. С.В. Образцова, при этом структурированной форме извещения отсутствует указание на поставку товара, в том числе программного обеспечения, в частности отсутствуют описание характеристик такого программного обеспечения, подлежащие заполнению участниками закупки.</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рамках услуг, подлежащих к исполнению в рамках заключаемого по результатам обжалуемой процедуры контракта, в том числе предусмотрено предоставление программного обеспечения «Платформа ОКДЕСК» (или эквивалент), при этом стоимость представления права пользования программным обеспечением включено в описание объекта закупки.</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Таким образом, по мнению представителя Заказчика, в закупаемые услуги включается оказание услуг, связанных с сопровождением, технической поддержкой, обновлением программного обеспечения, ввиду чего Заказчиком установлен оспариваемый запрет.</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При этом представитель Заказчика также отметил, что необходимое программное обеспечение подлежит представлению Заказнику во временное пользование.</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62" w:lineRule="auto"/>
        <w:ind w:left="0" w:right="0" w:firstLine="700"/>
        <w:jc w:val="both"/>
        <w:rPr>
          <w:sz w:val="24"/>
          <w:szCs w:val="24"/>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110" w:right="537" w:bottom="692" w:left="1101" w:header="0" w:footer="3" w:gutter="0"/>
          <w:pgNumType w:start="1"/>
          <w:cols w:space="720"/>
          <w:noEndnote/>
          <w:titlePg/>
          <w:rtlGutter w:val="0"/>
          <w:docGrid w:linePitch="360"/>
        </w:sectPr>
      </w:pPr>
      <w:r>
        <w:rPr>
          <w:color w:val="000000"/>
          <w:spacing w:val="0"/>
          <w:w w:val="100"/>
          <w:position w:val="0"/>
          <w:sz w:val="28"/>
          <w:szCs w:val="28"/>
          <w:shd w:val="clear" w:color="auto" w:fill="auto"/>
          <w:lang w:val="ru-RU" w:eastAsia="ru-RU" w:bidi="ru-RU"/>
        </w:rPr>
        <w:t xml:space="preserve">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w:t>
      </w:r>
      <w:r>
        <w:rPr>
          <w:color w:val="000000"/>
          <w:spacing w:val="0"/>
          <w:w w:val="100"/>
          <w:position w:val="0"/>
          <w:sz w:val="24"/>
          <w:szCs w:val="24"/>
          <w:shd w:val="clear" w:color="auto" w:fill="auto"/>
          <w:lang w:val="ru-RU" w:eastAsia="ru-RU" w:bidi="ru-RU"/>
        </w:rPr>
        <w:t>2024-1594</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numPr>
          <w:ilvl w:val="0"/>
          <w:numId w:val="3"/>
        </w:numPr>
        <w:shd w:val="clear" w:color="auto" w:fill="auto"/>
        <w:tabs>
          <w:tab w:pos="1429" w:val="left"/>
          <w:tab w:pos="1439" w:val="left"/>
        </w:tabs>
        <w:bidi w:val="0"/>
        <w:spacing w:before="0" w:after="0"/>
        <w:ind w:left="0" w:right="0" w:firstLine="700"/>
        <w:jc w:val="both"/>
      </w:pPr>
      <w:r>
        <w:rPr>
          <w:color w:val="000000"/>
          <w:spacing w:val="0"/>
          <w:w w:val="100"/>
          <w:position w:val="0"/>
          <w:shd w:val="clear" w:color="auto" w:fill="auto"/>
          <w:lang w:val="ru-RU" w:eastAsia="ru-RU" w:bidi="ru-RU"/>
        </w:rPr>
        <w:t>«7.6. В рамках комплексного эксплуатационно-технического</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обслуживания услуги оказываются на базе электронной системы учета и управления заявками ПЛАТФОРМА ОКДЕСК (или эквивалент), предоставляемой Исполнителем в течение 3 (Трёх) дней с даты начала оказания услуг»;</w:t>
      </w:r>
    </w:p>
    <w:p>
      <w:pPr>
        <w:pStyle w:val="Style6"/>
        <w:keepNext w:val="0"/>
        <w:keepLines w:val="0"/>
        <w:widowControl w:val="0"/>
        <w:numPr>
          <w:ilvl w:val="0"/>
          <w:numId w:val="3"/>
        </w:numPr>
        <w:shd w:val="clear" w:color="auto" w:fill="auto"/>
        <w:tabs>
          <w:tab w:pos="1429" w:val="left"/>
          <w:tab w:pos="1439" w:val="left"/>
        </w:tabs>
        <w:bidi w:val="0"/>
        <w:spacing w:before="0" w:after="0"/>
        <w:ind w:left="0" w:right="0" w:firstLine="700"/>
        <w:jc w:val="both"/>
      </w:pPr>
      <w:r>
        <w:rPr>
          <w:color w:val="000000"/>
          <w:spacing w:val="0"/>
          <w:w w:val="100"/>
          <w:position w:val="0"/>
          <w:shd w:val="clear" w:color="auto" w:fill="auto"/>
          <w:lang w:val="ru-RU" w:eastAsia="ru-RU" w:bidi="ru-RU"/>
        </w:rPr>
        <w:t>«7.9. Цена Договора включает стоимость услуг, всех необходимых для</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их исполнения материалов и инструментов, технических средств и приборов, оплаты труда сотрудников, а также платежей, предусмотренных законодательством Российской Федерации. Все применяемые при оказании услуг материалы и оборудование должны соответствовать государственным нормам и стандартам и иметь соответствующие сертификаты (в случае если товары подлежат обязательной сертификации в РФ). Стоимость выполнения заявок согласно приложению № 3 входит в стоимость обслуживания соответствующей системы. Стоимость программного обеспечения ОКДЕСК(или эквивалент) входит в стоимость услуг по Диспетчеризации и аварийному обслуживанию»;</w:t>
      </w:r>
    </w:p>
    <w:p>
      <w:pPr>
        <w:pStyle w:val="Style6"/>
        <w:keepNext w:val="0"/>
        <w:keepLines w:val="0"/>
        <w:widowControl w:val="0"/>
        <w:numPr>
          <w:ilvl w:val="0"/>
          <w:numId w:val="3"/>
        </w:numPr>
        <w:shd w:val="clear" w:color="auto" w:fill="auto"/>
        <w:tabs>
          <w:tab w:pos="1429" w:val="left"/>
          <w:tab w:pos="1439" w:val="left"/>
        </w:tabs>
        <w:bidi w:val="0"/>
        <w:spacing w:before="0" w:after="0"/>
        <w:ind w:left="0" w:right="0" w:firstLine="700"/>
        <w:jc w:val="both"/>
      </w:pPr>
      <w:r>
        <w:rPr>
          <w:color w:val="000000"/>
          <w:spacing w:val="0"/>
          <w:w w:val="100"/>
          <w:position w:val="0"/>
          <w:shd w:val="clear" w:color="auto" w:fill="auto"/>
          <w:lang w:val="ru-RU" w:eastAsia="ru-RU" w:bidi="ru-RU"/>
        </w:rPr>
        <w:t>«8.4 Исполнитель обязан предоставить программное обеспечение</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ПЛАТФОРМА ОКДЕСК (или эквивалент) в течение трёх дней с даты заключения Договора, которое позволяет:</w:t>
      </w:r>
    </w:p>
    <w:p>
      <w:pPr>
        <w:pStyle w:val="Style6"/>
        <w:keepNext w:val="0"/>
        <w:keepLines w:val="0"/>
        <w:widowControl w:val="0"/>
        <w:numPr>
          <w:ilvl w:val="0"/>
          <w:numId w:val="3"/>
        </w:numPr>
        <w:shd w:val="clear" w:color="auto" w:fill="auto"/>
        <w:tabs>
          <w:tab w:pos="1429" w:val="left"/>
        </w:tabs>
        <w:bidi w:val="0"/>
        <w:spacing w:before="0" w:after="40"/>
        <w:ind w:left="0" w:right="0" w:firstLine="700"/>
        <w:jc w:val="both"/>
      </w:pPr>
      <w:r>
        <w:rPr>
          <w:color w:val="000000"/>
          <w:spacing w:val="0"/>
          <w:w w:val="100"/>
          <w:position w:val="0"/>
          <w:shd w:val="clear" w:color="auto" w:fill="auto"/>
          <w:lang w:val="ru-RU" w:eastAsia="ru-RU" w:bidi="ru-RU"/>
        </w:rPr>
        <w:t>регистрироваться неограниченному количеству сотрудников,</w:t>
      </w:r>
    </w:p>
    <w:p>
      <w:pPr>
        <w:pStyle w:val="Style6"/>
        <w:keepNext w:val="0"/>
        <w:keepLines w:val="0"/>
        <w:widowControl w:val="0"/>
        <w:numPr>
          <w:ilvl w:val="0"/>
          <w:numId w:val="3"/>
        </w:numPr>
        <w:shd w:val="clear" w:color="auto" w:fill="auto"/>
        <w:tabs>
          <w:tab w:pos="1429" w:val="left"/>
        </w:tabs>
        <w:bidi w:val="0"/>
        <w:spacing w:before="0" w:after="0"/>
        <w:ind w:left="0" w:right="0" w:firstLine="700"/>
        <w:jc w:val="both"/>
      </w:pPr>
      <w:r>
        <w:rPr>
          <w:color w:val="000000"/>
          <w:spacing w:val="0"/>
          <w:w w:val="100"/>
          <w:position w:val="0"/>
          <w:shd w:val="clear" w:color="auto" w:fill="auto"/>
          <w:lang w:val="ru-RU" w:eastAsia="ru-RU" w:bidi="ru-RU"/>
        </w:rPr>
        <w:t>подавать заявки, контролировать в онлайн режиме процесс выполнения заявок и их закрытие,</w:t>
      </w:r>
    </w:p>
    <w:p>
      <w:pPr>
        <w:pStyle w:val="Style6"/>
        <w:keepNext w:val="0"/>
        <w:keepLines w:val="0"/>
        <w:widowControl w:val="0"/>
        <w:numPr>
          <w:ilvl w:val="0"/>
          <w:numId w:val="3"/>
        </w:numPr>
        <w:shd w:val="clear" w:color="auto" w:fill="auto"/>
        <w:tabs>
          <w:tab w:pos="1429" w:val="left"/>
        </w:tabs>
        <w:bidi w:val="0"/>
        <w:spacing w:before="0" w:after="0"/>
        <w:ind w:left="0" w:right="0" w:firstLine="700"/>
        <w:jc w:val="both"/>
      </w:pPr>
      <w:r>
        <w:rPr>
          <w:color w:val="000000"/>
          <w:spacing w:val="0"/>
          <w:w w:val="100"/>
          <w:position w:val="0"/>
          <w:shd w:val="clear" w:color="auto" w:fill="auto"/>
          <w:lang w:val="ru-RU" w:eastAsia="ru-RU" w:bidi="ru-RU"/>
        </w:rPr>
        <w:t>к выполненным заявкам прикреплять пакет документов (дефектная ведомость, акт выполненных работ и др.) и фото начала работ, процесса их выполнения и результата;</w:t>
      </w:r>
    </w:p>
    <w:p>
      <w:pPr>
        <w:pStyle w:val="Style6"/>
        <w:keepNext w:val="0"/>
        <w:keepLines w:val="0"/>
        <w:widowControl w:val="0"/>
        <w:numPr>
          <w:ilvl w:val="0"/>
          <w:numId w:val="3"/>
        </w:numPr>
        <w:shd w:val="clear" w:color="auto" w:fill="auto"/>
        <w:tabs>
          <w:tab w:pos="1429" w:val="left"/>
        </w:tabs>
        <w:bidi w:val="0"/>
        <w:spacing w:before="0" w:after="0"/>
        <w:ind w:left="0" w:right="0" w:firstLine="700"/>
        <w:jc w:val="both"/>
      </w:pPr>
      <w:r>
        <w:rPr>
          <w:color w:val="000000"/>
          <w:spacing w:val="0"/>
          <w:w w:val="100"/>
          <w:position w:val="0"/>
          <w:shd w:val="clear" w:color="auto" w:fill="auto"/>
          <w:lang w:val="ru-RU" w:eastAsia="ru-RU" w:bidi="ru-RU"/>
        </w:rPr>
        <w:t>формировать отчетность по работе на объектах клиента и регистрировать пожелания/претензии клиента;</w:t>
      </w:r>
    </w:p>
    <w:p>
      <w:pPr>
        <w:pStyle w:val="Style6"/>
        <w:keepNext w:val="0"/>
        <w:keepLines w:val="0"/>
        <w:widowControl w:val="0"/>
        <w:numPr>
          <w:ilvl w:val="0"/>
          <w:numId w:val="3"/>
        </w:numPr>
        <w:shd w:val="clear" w:color="auto" w:fill="auto"/>
        <w:tabs>
          <w:tab w:pos="1429" w:val="left"/>
        </w:tabs>
        <w:bidi w:val="0"/>
        <w:spacing w:before="0" w:after="0"/>
        <w:ind w:left="0" w:right="0" w:firstLine="700"/>
        <w:jc w:val="both"/>
      </w:pPr>
      <w:r>
        <w:rPr>
          <w:color w:val="000000"/>
          <w:spacing w:val="0"/>
          <w:w w:val="100"/>
          <w:position w:val="0"/>
          <w:shd w:val="clear" w:color="auto" w:fill="auto"/>
          <w:lang w:val="ru-RU" w:eastAsia="ru-RU" w:bidi="ru-RU"/>
        </w:rPr>
        <w:t>вести электронную паспортизацию оборудования инженерных систем объекта и адресное архивирование данных о выполненных заявках и регламентных работах;</w:t>
      </w:r>
    </w:p>
    <w:p>
      <w:pPr>
        <w:pStyle w:val="Style6"/>
        <w:keepNext w:val="0"/>
        <w:keepLines w:val="0"/>
        <w:widowControl w:val="0"/>
        <w:numPr>
          <w:ilvl w:val="0"/>
          <w:numId w:val="3"/>
        </w:numPr>
        <w:shd w:val="clear" w:color="auto" w:fill="auto"/>
        <w:tabs>
          <w:tab w:pos="1429" w:val="left"/>
        </w:tabs>
        <w:bidi w:val="0"/>
        <w:spacing w:before="0" w:after="0"/>
        <w:ind w:left="0" w:right="0" w:firstLine="700"/>
        <w:jc w:val="both"/>
        <w:sectPr>
          <w:headerReference w:type="default" r:id="rId11"/>
          <w:footerReference w:type="default" r:id="rId12"/>
          <w:footnotePr>
            <w:pos w:val="pageBottom"/>
            <w:numFmt w:val="decimal"/>
            <w:numRestart w:val="continuous"/>
          </w:footnotePr>
          <w:pgSz w:w="11900" w:h="16840"/>
          <w:pgMar w:top="1162" w:right="555" w:bottom="1162" w:left="1106" w:header="0" w:footer="3" w:gutter="0"/>
          <w:cols w:space="720"/>
          <w:noEndnote/>
          <w:rtlGutter w:val="0"/>
          <w:docGrid w:linePitch="360"/>
        </w:sectPr>
      </w:pPr>
      <w:r>
        <w:rPr>
          <w:color w:val="000000"/>
          <w:spacing w:val="0"/>
          <w:w w:val="100"/>
          <w:position w:val="0"/>
          <w:shd w:val="clear" w:color="auto" w:fill="auto"/>
          <w:lang w:val="ru-RU" w:eastAsia="ru-RU" w:bidi="ru-RU"/>
        </w:rPr>
        <w:t>регулярно оценивать качество выполненных работ путем проставления оценок по исполненным заявкам».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отмечает, что из описания объекта закупки не следует, что в рамках обжалуемой закупки осуществляются услуги, связанные с сопровождением, технической поддержкой, обновлением программного обеспечения, так как необходимое программное обеспечение представляется исполнителем контракта, что по своей сути не является сопровождением, технической поддержкой, обновлением программного обеспечения, имеющегося у Заказчика.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Комиссия Управления отмечает, что из описания объекта закупки не следует, что программное обеспечение представляется исполнителем контракта Заказчику во временное пользование, так как отсутствуют условия предоставления программного обеспечения во временное пользование.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исходя и описания объекта закупки, в рамках контракта предусмотрена поставка программного обеспечения, в связи с чем в данное программное обеспечение, является программным обеспечением в отношении которого устанавливается запрет, предусмотренный Постановлением №1236.</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Одновременно с этим Комиссия Управления отмечает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п.2 ч.1 ст.43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6"/>
        <w:keepNext w:val="0"/>
        <w:keepLines w:val="0"/>
        <w:widowControl w:val="0"/>
        <w:numPr>
          <w:ilvl w:val="0"/>
          <w:numId w:val="5"/>
        </w:numPr>
        <w:shd w:val="clear" w:color="auto" w:fill="auto"/>
        <w:tabs>
          <w:tab w:pos="102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положений ч.2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ч.2 ст.33 Закона о контрактной системе, товарный знак (при наличии у товара товарного знака);</w:t>
      </w:r>
    </w:p>
    <w:p>
      <w:pPr>
        <w:pStyle w:val="Style6"/>
        <w:keepNext w:val="0"/>
        <w:keepLines w:val="0"/>
        <w:widowControl w:val="0"/>
        <w:numPr>
          <w:ilvl w:val="0"/>
          <w:numId w:val="5"/>
        </w:numPr>
        <w:shd w:val="clear" w:color="auto" w:fill="auto"/>
        <w:tabs>
          <w:tab w:pos="104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ч.2 ст.43 Закона о контрактной системе;</w:t>
      </w:r>
    </w:p>
    <w:p>
      <w:pPr>
        <w:pStyle w:val="Style6"/>
        <w:keepNext w:val="0"/>
        <w:keepLines w:val="0"/>
        <w:widowControl w:val="0"/>
        <w:numPr>
          <w:ilvl w:val="0"/>
          <w:numId w:val="5"/>
        </w:numPr>
        <w:shd w:val="clear" w:color="auto" w:fill="auto"/>
        <w:tabs>
          <w:tab w:pos="103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keepNext w:val="0"/>
        <w:keepLines w:val="0"/>
        <w:widowControl w:val="0"/>
        <w:numPr>
          <w:ilvl w:val="0"/>
          <w:numId w:val="5"/>
        </w:numPr>
        <w:shd w:val="clear" w:color="auto" w:fill="auto"/>
        <w:tabs>
          <w:tab w:pos="101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положений ч.2 ст.43 Закона о контрактной системе предложение по критериям, предусмотренным п.2 и (или) 3 ч.1 ст.32 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6"/>
        <w:keepNext w:val="0"/>
        <w:keepLines w:val="0"/>
        <w:widowControl w:val="0"/>
        <w:numPr>
          <w:ilvl w:val="0"/>
          <w:numId w:val="5"/>
        </w:numPr>
        <w:shd w:val="clear" w:color="auto" w:fill="auto"/>
        <w:tabs>
          <w:tab w:pos="1033" w:val="left"/>
        </w:tabs>
        <w:bidi w:val="0"/>
        <w:spacing w:before="0" w:after="0" w:line="271"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w:t>
      </w:r>
      <w:r>
        <w:rPr>
          <w:color w:val="000000"/>
          <w:spacing w:val="0"/>
          <w:w w:val="100"/>
          <w:position w:val="0"/>
          <w:sz w:val="24"/>
          <w:szCs w:val="24"/>
          <w:shd w:val="clear" w:color="auto" w:fill="auto"/>
          <w:lang w:val="ru-RU" w:eastAsia="ru-RU" w:bidi="ru-RU"/>
        </w:rPr>
        <w:t>2024-1594</w:t>
      </w:r>
    </w:p>
    <w:p>
      <w:pPr>
        <w:pStyle w:val="Style6"/>
        <w:keepNext w:val="0"/>
        <w:keepLines w:val="0"/>
        <w:widowControl w:val="0"/>
        <w:shd w:val="clear" w:color="auto" w:fill="auto"/>
        <w:bidi w:val="0"/>
        <w:spacing w:before="0" w:after="40" w:line="254" w:lineRule="auto"/>
        <w:ind w:left="0" w:right="0" w:firstLine="0"/>
        <w:jc w:val="both"/>
      </w:pPr>
      <w:r>
        <w:rPr>
          <w:color w:val="000000"/>
          <w:spacing w:val="0"/>
          <w:w w:val="100"/>
          <w:position w:val="0"/>
          <w:shd w:val="clear" w:color="auto" w:fill="auto"/>
          <w:lang w:val="ru-RU" w:eastAsia="ru-RU" w:bidi="ru-RU"/>
        </w:rPr>
        <w:t>заявки на участие в закупке.</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п.1 ч.2 ст.43 Закона о контрактной системе при формировании предложения участника закупки в отношении объекта закупки информация о товаре, предусмотренная пп.«а» и «б» п.2 ч.1 ст.43 Закона о контрактной системе,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пп.«а» п.2 ч.1 ст.43 Закона о контрактной системе,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7"/>
        </w:numPr>
        <w:shd w:val="clear" w:color="auto" w:fill="auto"/>
        <w:tabs>
          <w:tab w:pos="1396"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извещении об осуществлении закупки;</w:t>
      </w:r>
    </w:p>
    <w:p>
      <w:pPr>
        <w:pStyle w:val="Style6"/>
        <w:keepNext w:val="0"/>
        <w:keepLines w:val="0"/>
        <w:widowControl w:val="0"/>
        <w:numPr>
          <w:ilvl w:val="0"/>
          <w:numId w:val="7"/>
        </w:numPr>
        <w:shd w:val="clear" w:color="auto" w:fill="auto"/>
        <w:tabs>
          <w:tab w:pos="1396"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приглашении принять участие в определении поставщика (подрядчика, исполнителя) (далее — приглашение);</w:t>
      </w:r>
    </w:p>
    <w:p>
      <w:pPr>
        <w:pStyle w:val="Style6"/>
        <w:keepNext w:val="0"/>
        <w:keepLines w:val="0"/>
        <w:widowControl w:val="0"/>
        <w:numPr>
          <w:ilvl w:val="0"/>
          <w:numId w:val="7"/>
        </w:numPr>
        <w:shd w:val="clear" w:color="auto" w:fill="auto"/>
        <w:tabs>
          <w:tab w:pos="1396" w:val="left"/>
          <w:tab w:pos="1434" w:val="left"/>
          <w:tab w:pos="7271"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документации о закупке (в случае если</w:t>
        <w:tab/>
        <w:t>Федеральным законом</w:t>
      </w:r>
    </w:p>
    <w:p>
      <w:pPr>
        <w:pStyle w:val="Style6"/>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предусмотрена документация о закупке);</w:t>
      </w:r>
    </w:p>
    <w:p>
      <w:pPr>
        <w:pStyle w:val="Style6"/>
        <w:keepNext w:val="0"/>
        <w:keepLines w:val="0"/>
        <w:widowControl w:val="0"/>
        <w:numPr>
          <w:ilvl w:val="0"/>
          <w:numId w:val="7"/>
        </w:numPr>
        <w:shd w:val="clear" w:color="auto" w:fill="auto"/>
        <w:tabs>
          <w:tab w:pos="1396" w:val="left"/>
          <w:tab w:pos="1434" w:val="left"/>
        </w:tabs>
        <w:bidi w:val="0"/>
        <w:spacing w:before="0" w:after="40" w:line="254" w:lineRule="auto"/>
        <w:ind w:left="0" w:right="0" w:firstLine="700"/>
        <w:jc w:val="both"/>
      </w:pPr>
      <w:r>
        <w:rPr>
          <w:color w:val="000000"/>
          <w:spacing w:val="0"/>
          <w:w w:val="100"/>
          <w:position w:val="0"/>
          <w:shd w:val="clear" w:color="auto" w:fill="auto"/>
          <w:lang w:val="ru-RU" w:eastAsia="ru-RU" w:bidi="ru-RU"/>
        </w:rPr>
        <w:t>контракте;</w:t>
      </w:r>
    </w:p>
    <w:p>
      <w:pPr>
        <w:pStyle w:val="Style6"/>
        <w:keepNext w:val="0"/>
        <w:keepLines w:val="0"/>
        <w:widowControl w:val="0"/>
        <w:numPr>
          <w:ilvl w:val="0"/>
          <w:numId w:val="7"/>
        </w:numPr>
        <w:shd w:val="clear" w:color="auto" w:fill="auto"/>
        <w:tabs>
          <w:tab w:pos="1396" w:val="left"/>
          <w:tab w:pos="1434" w:val="left"/>
        </w:tabs>
        <w:bidi w:val="0"/>
        <w:spacing w:before="0" w:after="40" w:line="254" w:lineRule="auto"/>
        <w:ind w:left="0" w:right="0" w:firstLine="700"/>
        <w:jc w:val="both"/>
      </w:pPr>
      <w:r>
        <w:rPr>
          <w:color w:val="000000"/>
          <w:spacing w:val="0"/>
          <w:w w:val="100"/>
          <w:position w:val="0"/>
          <w:shd w:val="clear" w:color="auto" w:fill="auto"/>
          <w:lang w:val="ru-RU" w:eastAsia="ru-RU" w:bidi="ru-RU"/>
        </w:rPr>
        <w:t>реестре контрактов, заключенных заказчиками.</w:t>
      </w:r>
    </w:p>
    <w:p>
      <w:pPr>
        <w:pStyle w:val="Style6"/>
        <w:keepNext w:val="0"/>
        <w:keepLines w:val="0"/>
        <w:widowControl w:val="0"/>
        <w:shd w:val="clear" w:color="auto" w:fill="auto"/>
        <w:bidi w:val="0"/>
        <w:spacing w:before="0" w:after="40" w:line="259"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62" w:right="547" w:bottom="682" w:left="1105" w:header="0" w:footer="254"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w:t>
      </w:r>
      <w:r>
        <w:rPr>
          <w:color w:val="000000"/>
          <w:spacing w:val="0"/>
          <w:w w:val="100"/>
          <w:position w:val="0"/>
          <w:sz w:val="24"/>
          <w:szCs w:val="24"/>
          <w:shd w:val="clear" w:color="auto" w:fill="auto"/>
          <w:lang w:val="ru-RU" w:eastAsia="ru-RU" w:bidi="ru-RU"/>
        </w:rPr>
        <w:t>2024-1594</w:t>
      </w:r>
    </w:p>
    <w:p>
      <w:pPr>
        <w:pStyle w:val="Style6"/>
        <w:keepNext w:val="0"/>
        <w:keepLines w:val="0"/>
        <w:widowControl w:val="0"/>
        <w:shd w:val="clear" w:color="auto" w:fill="auto"/>
        <w:bidi w:val="0"/>
        <w:spacing w:before="0" w:after="0" w:line="257" w:lineRule="auto"/>
        <w:ind w:left="0" w:right="0" w:firstLine="0"/>
        <w:jc w:val="both"/>
      </w:pPr>
      <w:r>
        <w:rPr>
          <w:color w:val="000000"/>
          <w:spacing w:val="0"/>
          <w:w w:val="100"/>
          <w:position w:val="0"/>
          <w:shd w:val="clear" w:color="auto" w:fill="auto"/>
          <w:lang w:val="ru-RU" w:eastAsia="ru-RU" w:bidi="ru-RU"/>
        </w:rPr>
        <w:t>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Вместе с этим Комиссией Управления отмечает, что в электронном документе «описание объекта закупки» Заказчиком определены требования к характеристикам закупаемых программного обеспечения, однако, как установлено Комиссией Управления, в нарушение п.7 Правил использования КТРУ, в составе структурированной формы извещения, размещенной в соответствии ч.1 ст.42 Закона о контрактной системе, требования к характеристикам программного обеспечения, обозначенные в описании объекта закупки, надлежащим образом, позволяющим представить значения параметров характеристик, не указаны.</w:t>
      </w:r>
    </w:p>
    <w:p>
      <w:pPr>
        <w:pStyle w:val="Style6"/>
        <w:keepNext w:val="0"/>
        <w:keepLines w:val="0"/>
        <w:widowControl w:val="0"/>
        <w:shd w:val="clear" w:color="auto" w:fill="auto"/>
        <w:tabs>
          <w:tab w:pos="994" w:val="left"/>
        </w:tabs>
        <w:bidi w:val="0"/>
        <w:spacing w:before="0" w:after="0" w:line="257" w:lineRule="auto"/>
        <w:ind w:left="0" w:right="0" w:firstLine="700"/>
        <w:jc w:val="both"/>
      </w:pPr>
      <w:r>
        <w:rPr>
          <w:color w:val="000000"/>
          <w:spacing w:val="0"/>
          <w:w w:val="100"/>
          <w:position w:val="0"/>
          <w:shd w:val="clear" w:color="auto" w:fill="auto"/>
          <w:lang w:val="ru-RU" w:eastAsia="ru-RU" w:bidi="ru-RU"/>
        </w:rPr>
        <w:t>Таким образом, на основании имеющихся документов и сведений, Комиссия Управления приходит к выводу об обоснованности довода жалобы, в части отсутствия в структурированной форме извещения информации о характеристиках программного обеспечения, а также о нарушении Заказчиком положений ч.6 ст.23 Закона о контрактной системе при формировании описания объекта закупки,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ч.1.4</w:t>
        <w:tab/>
        <w:t>ст.7.30 Кодекса Российской Федерации об административных</w:t>
      </w:r>
    </w:p>
    <w:p>
      <w:pPr>
        <w:pStyle w:val="Style6"/>
        <w:keepNext w:val="0"/>
        <w:keepLines w:val="0"/>
        <w:widowControl w:val="0"/>
        <w:shd w:val="clear" w:color="auto" w:fill="auto"/>
        <w:bidi w:val="0"/>
        <w:spacing w:before="0" w:after="40" w:line="257" w:lineRule="auto"/>
        <w:ind w:left="0" w:right="0" w:firstLine="0"/>
        <w:jc w:val="both"/>
      </w:pPr>
      <w:r>
        <w:rPr>
          <w:color w:val="000000"/>
          <w:spacing w:val="0"/>
          <w:w w:val="100"/>
          <w:position w:val="0"/>
          <w:shd w:val="clear" w:color="auto" w:fill="auto"/>
          <w:lang w:val="ru-RU" w:eastAsia="ru-RU" w:bidi="ru-RU"/>
        </w:rPr>
        <w:t>правонарушениях.</w:t>
      </w:r>
    </w:p>
    <w:p>
      <w:pPr>
        <w:pStyle w:val="Style6"/>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Одновременно с этим Комиссией Управления установлено, что вышеуказанные нарушения не повлияли на результаты определения поставщика, (подрядчика, исполнителя), так как, согласно протоколу подведения итогов определения поставщика (подрядчика, исполнителя) от 10.01.2024 №ИЭА1, на участие в закупке подано 6 заявок, при этом 5 заявок признаны соответствующими требованиям извещения, а снижение цены контракта составило 25.10%, кроме того, выявленные нарушения не могли повлиять на права и законные интересы Заявителя, так как Заказчиком установлены дополнительные требования к участникам закупки в соответствии с п.14 Приложения «Дополнительные требования к участникам закупки отдельных видов товаров, работ, услуг, участникам отдельных видов закупок товаров, работ, услуг для обеспечения государственных и муниципальных нужд» (далее - Приложение), утвержденного Постановлением Правительства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в то время как у Заявителя отсутствует аккредитованный опыт выполнения работ (оказания услуг), предусмотренный п.14 Приложения.</w:t>
      </w:r>
      <w:r>
        <w:br w:type="page"/>
      </w:r>
    </w:p>
    <w:p>
      <w:pPr>
        <w:pStyle w:val="Style6"/>
        <w:keepNext w:val="0"/>
        <w:keepLines w:val="0"/>
        <w:widowControl w:val="0"/>
        <w:shd w:val="clear" w:color="auto" w:fill="auto"/>
        <w:bidi w:val="0"/>
        <w:spacing w:before="0" w:after="98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6"/>
        <w:keepNext w:val="0"/>
        <w:keepLines w:val="0"/>
        <w:widowControl w:val="0"/>
        <w:numPr>
          <w:ilvl w:val="0"/>
          <w:numId w:val="9"/>
        </w:numPr>
        <w:shd w:val="clear" w:color="auto" w:fill="auto"/>
        <w:tabs>
          <w:tab w:pos="1411" w:val="left"/>
        </w:tabs>
        <w:bidi w:val="0"/>
        <w:spacing w:before="0" w:after="0"/>
        <w:ind w:left="0" w:right="0" w:firstLine="700"/>
        <w:jc w:val="both"/>
      </w:pPr>
      <w:r>
        <w:rPr>
          <w:color w:val="000000"/>
          <w:spacing w:val="0"/>
          <w:w w:val="100"/>
          <w:position w:val="0"/>
          <w:shd w:val="clear" w:color="auto" w:fill="auto"/>
          <w:lang w:val="ru-RU" w:eastAsia="ru-RU" w:bidi="ru-RU"/>
        </w:rPr>
        <w:t>Признать жалобу ИП Чернова Е.В. на действия ФГБУК «ГАЦТК им. С.В. Образцова» обоснованной в части отсутствия в структурированной форме извещения информации о характеристиках программного обеспечения.</w:t>
      </w:r>
    </w:p>
    <w:p>
      <w:pPr>
        <w:pStyle w:val="Style6"/>
        <w:keepNext w:val="0"/>
        <w:keepLines w:val="0"/>
        <w:widowControl w:val="0"/>
        <w:numPr>
          <w:ilvl w:val="0"/>
          <w:numId w:val="9"/>
        </w:numPr>
        <w:shd w:val="clear" w:color="auto" w:fill="auto"/>
        <w:tabs>
          <w:tab w:pos="1411" w:val="left"/>
        </w:tabs>
        <w:bidi w:val="0"/>
        <w:spacing w:before="0" w:after="0"/>
        <w:ind w:left="0" w:right="0" w:firstLine="700"/>
        <w:jc w:val="both"/>
      </w:pPr>
      <w:r>
        <w:rPr>
          <w:color w:val="000000"/>
          <w:spacing w:val="0"/>
          <w:w w:val="100"/>
          <w:position w:val="0"/>
          <w:shd w:val="clear" w:color="auto" w:fill="auto"/>
          <w:lang w:val="ru-RU" w:eastAsia="ru-RU" w:bidi="ru-RU"/>
        </w:rPr>
        <w:t>Признать в действиях Заказчика нарушение ч.6 ст.23 Закона о контрактной системе.</w:t>
      </w:r>
    </w:p>
    <w:p>
      <w:pPr>
        <w:pStyle w:val="Style6"/>
        <w:keepNext w:val="0"/>
        <w:keepLines w:val="0"/>
        <w:widowControl w:val="0"/>
        <w:numPr>
          <w:ilvl w:val="0"/>
          <w:numId w:val="9"/>
        </w:numPr>
        <w:shd w:val="clear" w:color="auto" w:fill="auto"/>
        <w:tabs>
          <w:tab w:pos="1411" w:val="left"/>
        </w:tabs>
        <w:bidi w:val="0"/>
        <w:spacing w:before="0" w:after="0"/>
        <w:ind w:left="0" w:right="0" w:firstLine="700"/>
        <w:jc w:val="both"/>
      </w:pPr>
      <w:r>
        <w:rPr>
          <w:color w:val="000000"/>
          <w:spacing w:val="0"/>
          <w:w w:val="100"/>
          <w:position w:val="0"/>
          <w:shd w:val="clear" w:color="auto" w:fill="auto"/>
          <w:lang w:val="ru-RU" w:eastAsia="ru-RU" w:bidi="ru-RU"/>
        </w:rPr>
        <w:t>Обязательное для исполнения предписание об устранении нарушений законодательства о контрактной системе Заказчику не выдавать, поскольку выявленные нарушения не повлияли на результаты определения поставщика (подрядчика, исполнителя).</w:t>
      </w:r>
    </w:p>
    <w:p>
      <w:pPr>
        <w:pStyle w:val="Style6"/>
        <w:keepNext w:val="0"/>
        <w:keepLines w:val="0"/>
        <w:widowControl w:val="0"/>
        <w:numPr>
          <w:ilvl w:val="0"/>
          <w:numId w:val="9"/>
        </w:numPr>
        <w:shd w:val="clear" w:color="auto" w:fill="auto"/>
        <w:tabs>
          <w:tab w:pos="1411" w:val="left"/>
        </w:tabs>
        <w:bidi w:val="0"/>
        <w:spacing w:before="0" w:after="300"/>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5"/>
          <w:footerReference w:type="default" r:id="rId16"/>
          <w:footnotePr>
            <w:pos w:val="pageBottom"/>
            <w:numFmt w:val="decimal"/>
            <w:numRestart w:val="continuous"/>
          </w:footnotePr>
          <w:pgSz w:w="11900" w:h="16840"/>
          <w:pgMar w:top="1162" w:right="532" w:bottom="1196" w:left="1100" w:header="0" w:footer="3" w:gutter="0"/>
          <w:cols w:space="720"/>
          <w:noEndnote/>
          <w:rtlGutter w:val="0"/>
          <w:docGrid w:linePitch="360"/>
        </w:sectPr>
      </w:pPr>
      <w:r>
        <mc:AlternateContent>
          <mc:Choice Requires="wps">
            <w:drawing>
              <wp:anchor distT="127000" distB="167640" distL="0" distR="0" simplePos="0" relativeHeight="125829381" behindDoc="0" locked="0" layoutInCell="1" allowOverlap="1">
                <wp:simplePos x="0" y="0"/>
                <wp:positionH relativeFrom="page">
                  <wp:posOffset>732155</wp:posOffset>
                </wp:positionH>
                <wp:positionV relativeFrom="paragraph">
                  <wp:posOffset>127000</wp:posOffset>
                </wp:positionV>
                <wp:extent cx="1862455" cy="252730"/>
                <wp:wrapTopAndBottom/>
                <wp:docPr id="19" name="Shape 19"/>
                <a:graphic xmlns:a="http://schemas.openxmlformats.org/drawingml/2006/main">
                  <a:graphicData uri="http://schemas.microsoft.com/office/word/2010/wordprocessingShape">
                    <wps:wsp>
                      <wps:cNvSpPr txBox="1"/>
                      <wps:spPr>
                        <a:xfrm>
                          <a:ext cx="186245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5" type="#_x0000_t202" style="position:absolute;margin-left:57.649999999999999pt;margin-top:10.pt;width:146.65000000000001pt;height:19.900000000000002pt;z-index:-125829372;mso-wrap-distance-left:0;mso-wrap-distance-top:10.pt;mso-wrap-distance-right:0;mso-wrap-distance-bottom:13.2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mc:AlternateContent>
          <mc:Choice Requires="wps">
            <w:drawing>
              <wp:anchor distT="291465" distB="0" distL="0" distR="0" simplePos="0" relativeHeight="125829383" behindDoc="0" locked="0" layoutInCell="1" allowOverlap="1">
                <wp:simplePos x="0" y="0"/>
                <wp:positionH relativeFrom="page">
                  <wp:posOffset>3521075</wp:posOffset>
                </wp:positionH>
                <wp:positionV relativeFrom="paragraph">
                  <wp:posOffset>291465</wp:posOffset>
                </wp:positionV>
                <wp:extent cx="1725295" cy="255905"/>
                <wp:wrapTopAndBottom/>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77.25pt;margin-top:22.949999999999999pt;width:135.84999999999999pt;height:20.150000000000002pt;z-index:-125829370;mso-wrap-distance-left:0;mso-wrap-distance-top:22.949999999999999pt;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27000" distB="167640" distL="0" distR="0" simplePos="0" relativeHeight="125829385" behindDoc="0" locked="0" layoutInCell="1" allowOverlap="1">
                <wp:simplePos x="0" y="0"/>
                <wp:positionH relativeFrom="page">
                  <wp:posOffset>6035675</wp:posOffset>
                </wp:positionH>
                <wp:positionV relativeFrom="paragraph">
                  <wp:posOffset>127000</wp:posOffset>
                </wp:positionV>
                <wp:extent cx="1182370" cy="252730"/>
                <wp:wrapTopAndBottom/>
                <wp:docPr id="23" name="Shape 23"/>
                <a:graphic xmlns:a="http://schemas.openxmlformats.org/drawingml/2006/main">
                  <a:graphicData uri="http://schemas.microsoft.com/office/word/2010/wordprocessingShape">
                    <wps:wsp>
                      <wps:cNvSpPr txBox="1"/>
                      <wps:spPr>
                        <a:xfrm>
                          <a:ext cx="118237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49" type="#_x0000_t202" style="position:absolute;margin-left:475.25pt;margin-top:10.pt;width:93.100000000000009pt;height:19.900000000000002pt;z-index:-125829368;mso-wrap-distance-left:0;mso-wrap-distance-top:10.pt;mso-wrap-distance-right:0;mso-wrap-distance-bottom:13.2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widowControl w:val="0"/>
        <w:spacing w:before="2" w:after="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62" w:right="0" w:bottom="1196" w:left="0" w:header="0" w:footer="3" w:gutter="0"/>
          <w:cols w:space="720"/>
          <w:noEndnote/>
          <w:rtlGutter w:val="0"/>
          <w:docGrid w:linePitch="360"/>
        </w:sectPr>
      </w:pPr>
    </w:p>
    <w:p>
      <w:pPr>
        <w:pStyle w:val="Style18"/>
        <w:keepNext w:val="0"/>
        <w:keepLines w:val="0"/>
        <w:widowControl w:val="0"/>
        <w:shd w:val="clear" w:color="auto" w:fill="auto"/>
        <w:bidi w:val="0"/>
        <w:spacing w:before="0" w:after="0" w:line="240" w:lineRule="auto"/>
        <w:ind w:right="0" w:firstLine="0"/>
        <w:jc w:val="left"/>
      </w:pPr>
      <w:r>
        <w:rPr>
          <w:color w:val="686868"/>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Миронова Елена Александровна</w:t>
      </w:r>
    </w:p>
    <w:p>
      <w:pPr>
        <w:pStyle w:val="Style18"/>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62626"/>
          <w:spacing w:val="0"/>
          <w:w w:val="100"/>
          <w:position w:val="0"/>
          <w:shd w:val="clear" w:color="auto" w:fill="auto"/>
          <w:lang w:val="ru-RU" w:eastAsia="ru-RU" w:bidi="ru-RU"/>
        </w:rPr>
        <w:t>00Е9СЕАА6ОО6САО20С424А9502ЕС296Е8</w:t>
      </w:r>
      <w:r>
        <w:rPr>
          <w:color w:val="262626"/>
          <w:spacing w:val="0"/>
          <w:w w:val="100"/>
          <w:position w:val="0"/>
          <w:shd w:val="clear" w:color="auto" w:fill="auto"/>
          <w:lang w:val="ru-RU" w:eastAsia="ru-RU" w:bidi="ru-RU"/>
        </w:rPr>
        <w:t>;</w:t>
      </w:r>
    </w:p>
    <w:p>
      <w:pPr>
        <w:pStyle w:val="Style18"/>
        <w:keepNext w:val="0"/>
        <w:keepLines w:val="0"/>
        <w:widowControl w:val="0"/>
        <w:shd w:val="clear" w:color="auto" w:fill="auto"/>
        <w:bidi w:val="0"/>
        <w:spacing w:before="0" w:after="580" w:line="240" w:lineRule="auto"/>
        <w:ind w:right="0" w:firstLine="0"/>
        <w:jc w:val="left"/>
      </w:pPr>
      <w:r>
        <w:rPr>
          <w:color w:val="686868"/>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62626"/>
          <w:spacing w:val="0"/>
          <w:w w:val="100"/>
          <w:position w:val="0"/>
          <w:shd w:val="clear" w:color="auto" w:fill="auto"/>
          <w:lang w:val="ru-RU" w:eastAsia="ru-RU" w:bidi="ru-RU"/>
        </w:rPr>
        <w:t xml:space="preserve">22.12.2022 </w:t>
      </w:r>
      <w:r>
        <w:rPr>
          <w:color w:val="686868"/>
          <w:spacing w:val="0"/>
          <w:w w:val="100"/>
          <w:position w:val="0"/>
          <w:shd w:val="clear" w:color="auto" w:fill="auto"/>
          <w:lang w:val="ru-RU" w:eastAsia="ru-RU" w:bidi="ru-RU"/>
        </w:rPr>
        <w:t>по 16.03.2024</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widowControl w:val="0"/>
        <w:spacing w:line="1" w:lineRule="exact"/>
        <w:sectPr>
          <w:footnotePr>
            <w:pos w:val="pageBottom"/>
            <w:numFmt w:val="decimal"/>
            <w:numRestart w:val="continuous"/>
          </w:footnotePr>
          <w:type w:val="continuous"/>
          <w:pgSz w:w="11900" w:h="16840"/>
          <w:pgMar w:top="1162" w:right="527" w:bottom="1196" w:left="1106" w:header="0" w:footer="3" w:gutter="0"/>
          <w:cols w:space="720"/>
          <w:noEndnote/>
          <w:rtlGutter w:val="0"/>
          <w:docGrid w:linePitch="360"/>
        </w:sectPr>
      </w:pPr>
      <w:r>
        <mc:AlternateContent>
          <mc:Choice Requires="wps">
            <w:drawing>
              <wp:anchor distT="161290" distB="635" distL="0" distR="0" simplePos="0" relativeHeight="125829387" behindDoc="0" locked="0" layoutInCell="1" allowOverlap="1">
                <wp:simplePos x="0" y="0"/>
                <wp:positionH relativeFrom="page">
                  <wp:posOffset>3521075</wp:posOffset>
                </wp:positionH>
                <wp:positionV relativeFrom="paragraph">
                  <wp:posOffset>161290</wp:posOffset>
                </wp:positionV>
                <wp:extent cx="1725295" cy="255905"/>
                <wp:wrapTopAndBottom/>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25pt;margin-top:12.700000000000001pt;width:135.84999999999999pt;height:20.150000000000002pt;z-index:-125829366;mso-wrap-distance-left:0;mso-wrap-distance-top:12.700000000000001pt;mso-wrap-distance-right:0;mso-wrap-distance-bottom:5.0000000000000003e-002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67640" distL="0" distR="0" simplePos="0" relativeHeight="125829389" behindDoc="0" locked="0" layoutInCell="1" allowOverlap="1">
                <wp:simplePos x="0" y="0"/>
                <wp:positionH relativeFrom="page">
                  <wp:posOffset>5871210</wp:posOffset>
                </wp:positionH>
                <wp:positionV relativeFrom="paragraph">
                  <wp:posOffset>0</wp:posOffset>
                </wp:positionV>
                <wp:extent cx="1341120" cy="250190"/>
                <wp:wrapTopAndBottom/>
                <wp:docPr id="27" name="Shape 27"/>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wps:txbx>
                      <wps:bodyPr wrap="none" lIns="0" tIns="0" rIns="0" bIns="0">
                        <a:noAutoFit/>
                      </wps:bodyPr>
                    </wps:wsp>
                  </a:graphicData>
                </a:graphic>
              </wp:anchor>
            </w:drawing>
          </mc:Choice>
          <mc:Fallback>
            <w:pict>
              <v:shape id="_x0000_s1053" type="#_x0000_t202" style="position:absolute;margin-left:462.30000000000001pt;margin-top:0;width:105.60000000000001pt;height:19.699999999999999pt;z-index:-125829364;mso-wrap-distance-left:0;mso-wrap-distance-right:0;mso-wrap-distance-bottom:13.2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v:textbox>
                <w10:wrap type="topAndBottom" anchorx="page"/>
              </v:shape>
            </w:pict>
          </mc:Fallback>
        </mc:AlternateContent>
      </w:r>
    </w:p>
    <w:p>
      <w:pPr>
        <w:widowControl w:val="0"/>
        <w:spacing w:line="200" w:lineRule="exact"/>
        <w:rPr>
          <w:sz w:val="16"/>
          <w:szCs w:val="16"/>
        </w:rPr>
      </w:pPr>
    </w:p>
    <w:p>
      <w:pPr>
        <w:widowControl w:val="0"/>
        <w:spacing w:line="1" w:lineRule="exact"/>
        <w:sectPr>
          <w:footnotePr>
            <w:pos w:val="pageBottom"/>
            <w:numFmt w:val="decimal"/>
            <w:numRestart w:val="continuous"/>
          </w:footnotePr>
          <w:type w:val="continuous"/>
          <w:pgSz w:w="11900" w:h="16840"/>
          <w:pgMar w:top="1162" w:right="0" w:bottom="1196" w:left="0" w:header="0" w:footer="3" w:gutter="0"/>
          <w:cols w:space="720"/>
          <w:noEndnote/>
          <w:rtlGutter w:val="0"/>
          <w:docGrid w:linePitch="360"/>
        </w:sectPr>
      </w:pPr>
    </w:p>
    <w:p>
      <w:pPr>
        <w:pStyle w:val="Style18"/>
        <w:keepNext w:val="0"/>
        <w:keepLines w:val="0"/>
        <w:widowControl w:val="0"/>
        <w:shd w:val="clear" w:color="auto" w:fill="auto"/>
        <w:bidi w:val="0"/>
        <w:spacing w:before="0" w:after="0" w:line="240" w:lineRule="auto"/>
        <w:ind w:right="0" w:firstLine="0"/>
        <w:jc w:val="left"/>
      </w:pPr>
      <w:r>
        <w:rPr>
          <w:color w:val="686868"/>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Матюшенко Александр Александрович</w:t>
      </w:r>
    </w:p>
    <w:p>
      <w:pPr>
        <w:pStyle w:val="Style18"/>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44СЕО19О689ЕВ23598ВССВР99Е1С6Е2С</w:t>
      </w:r>
    </w:p>
    <w:p>
      <w:pPr>
        <w:pStyle w:val="Style18"/>
        <w:keepNext w:val="0"/>
        <w:keepLines w:val="0"/>
        <w:widowControl w:val="0"/>
        <w:shd w:val="clear" w:color="auto" w:fill="auto"/>
        <w:bidi w:val="0"/>
        <w:spacing w:before="0" w:after="0" w:line="240" w:lineRule="auto"/>
        <w:ind w:right="0" w:firstLine="0"/>
        <w:jc w:val="left"/>
      </w:pPr>
      <w:r>
        <w:rPr>
          <w:color w:val="686868"/>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10.04.2023 </w:t>
      </w:r>
      <w:r>
        <w:rPr>
          <w:color w:val="686868"/>
          <w:spacing w:val="0"/>
          <w:w w:val="100"/>
          <w:position w:val="0"/>
          <w:shd w:val="clear" w:color="auto" w:fill="auto"/>
          <w:lang w:val="ru-RU" w:eastAsia="ru-RU" w:bidi="ru-RU"/>
        </w:rPr>
        <w:t>по 03.07.2024</w:t>
      </w:r>
    </w:p>
    <w:p>
      <w:pPr>
        <w:widowControl w:val="0"/>
        <w:spacing w:line="1" w:lineRule="exact"/>
        <w:sectPr>
          <w:footnotePr>
            <w:pos w:val="pageBottom"/>
            <w:numFmt w:val="decimal"/>
            <w:numRestart w:val="continuous"/>
          </w:footnotePr>
          <w:type w:val="continuous"/>
          <w:pgSz w:w="11900" w:h="16840"/>
          <w:pgMar w:top="1162" w:right="527" w:bottom="1196" w:left="1106" w:header="0" w:footer="3" w:gutter="0"/>
          <w:cols w:space="720"/>
          <w:noEndnote/>
          <w:rtlGutter w:val="0"/>
          <w:docGrid w:linePitch="360"/>
        </w:sectPr>
      </w:pPr>
      <w:r>
        <mc:AlternateContent>
          <mc:Choice Requires="wps">
            <w:drawing>
              <wp:anchor distT="443865" distB="0" distL="0" distR="0" simplePos="0" relativeHeight="125829391" behindDoc="0" locked="0" layoutInCell="1" allowOverlap="1">
                <wp:simplePos x="0" y="0"/>
                <wp:positionH relativeFrom="page">
                  <wp:posOffset>3521075</wp:posOffset>
                </wp:positionH>
                <wp:positionV relativeFrom="paragraph">
                  <wp:posOffset>443865</wp:posOffset>
                </wp:positionV>
                <wp:extent cx="1725295" cy="255905"/>
                <wp:wrapTopAndBottom/>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7.25pt;margin-top:34.950000000000003pt;width:135.84999999999999pt;height:20.150000000000002pt;z-index:-125829362;mso-wrap-distance-left:0;mso-wrap-distance-top:34.950000000000003pt;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79400" distB="167640" distL="0" distR="0" simplePos="0" relativeHeight="125829393" behindDoc="0" locked="0" layoutInCell="1" allowOverlap="1">
                <wp:simplePos x="0" y="0"/>
                <wp:positionH relativeFrom="page">
                  <wp:posOffset>5907405</wp:posOffset>
                </wp:positionH>
                <wp:positionV relativeFrom="paragraph">
                  <wp:posOffset>279400</wp:posOffset>
                </wp:positionV>
                <wp:extent cx="1310640" cy="252730"/>
                <wp:wrapTopAndBottom/>
                <wp:docPr id="31" name="Shape 31"/>
                <a:graphic xmlns:a="http://schemas.openxmlformats.org/drawingml/2006/main">
                  <a:graphicData uri="http://schemas.microsoft.com/office/word/2010/wordprocessingShape">
                    <wps:wsp>
                      <wps:cNvSpPr txBox="1"/>
                      <wps:spPr>
                        <a:xfrm>
                          <a:ext cx="131064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Е.Д. Мартьянова</w:t>
                            </w:r>
                          </w:p>
                        </w:txbxContent>
                      </wps:txbx>
                      <wps:bodyPr wrap="none" lIns="0" tIns="0" rIns="0" bIns="0">
                        <a:noAutoFit/>
                      </wps:bodyPr>
                    </wps:wsp>
                  </a:graphicData>
                </a:graphic>
              </wp:anchor>
            </w:drawing>
          </mc:Choice>
          <mc:Fallback>
            <w:pict>
              <v:shape id="_x0000_s1057" type="#_x0000_t202" style="position:absolute;margin-left:465.15000000000003pt;margin-top:22.pt;width:103.2pt;height:19.900000000000002pt;z-index:-125829360;mso-wrap-distance-left:0;mso-wrap-distance-top:22.pt;mso-wrap-distance-right:0;mso-wrap-distance-bottom:13.2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Е.Д. Мартьянова</w:t>
                      </w:r>
                    </w:p>
                  </w:txbxContent>
                </v:textbox>
                <w10:wrap type="topAndBottom" anchorx="page"/>
              </v:shape>
            </w:pict>
          </mc:Fallback>
        </mc:AlternateContent>
      </w:r>
    </w:p>
    <w:p>
      <w:pPr>
        <w:widowControl w:val="0"/>
        <w:spacing w:before="3" w:after="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62" w:right="0" w:bottom="1162" w:left="0" w:header="0" w:footer="3" w:gutter="0"/>
          <w:cols w:space="720"/>
          <w:noEndnote/>
          <w:rtlGutter w:val="0"/>
          <w:docGrid w:linePitch="360"/>
        </w:sectPr>
      </w:pPr>
    </w:p>
    <w:p>
      <w:pPr>
        <w:pStyle w:val="Style1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Мартьянова Елена Дмитриевна</w:t>
      </w:r>
    </w:p>
    <w:p>
      <w:pPr>
        <w:pStyle w:val="Style18"/>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0092302А1Е2Е82694604ЕЕЕ772202557ЕЕ</w:t>
      </w:r>
    </w:p>
    <w:p>
      <w:pPr>
        <w:pStyle w:val="Style18"/>
        <w:keepNext w:val="0"/>
        <w:keepLines w:val="0"/>
        <w:widowControl w:val="0"/>
        <w:shd w:val="clear" w:color="auto" w:fill="auto"/>
        <w:bidi w:val="0"/>
        <w:spacing w:before="0" w:after="80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62626"/>
          <w:spacing w:val="0"/>
          <w:w w:val="100"/>
          <w:position w:val="0"/>
          <w:shd w:val="clear" w:color="auto" w:fill="auto"/>
          <w:lang w:val="ru-RU" w:eastAsia="ru-RU" w:bidi="ru-RU"/>
        </w:rPr>
        <w:t xml:space="preserve">05.12.2023 </w:t>
      </w:r>
      <w:r>
        <w:rPr>
          <w:color w:val="7D7D7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27.02.2025</w:t>
      </w:r>
    </w:p>
    <w:p>
      <w:pPr>
        <w:pStyle w:val="Style2"/>
        <w:keepNext w:val="0"/>
        <w:keepLines w:val="0"/>
        <w:widowControl w:val="0"/>
        <w:shd w:val="clear" w:color="auto" w:fill="auto"/>
        <w:bidi w:val="0"/>
        <w:spacing w:before="0" w:after="40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Исп. Матюшенко А.А., 8(495) 784-75-05</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720090</wp:posOffset>
              </wp:positionH>
              <wp:positionV relativeFrom="page">
                <wp:posOffset>10317480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2024-1594</w:t>
                          </w:r>
                        </w:p>
                      </w:txbxContent>
                    </wps:txbx>
                    <wps:bodyPr wrap="none" lIns="0" tIns="0" rIns="0" bIns="0">
                      <a:spAutoFit/>
                    </wps:bodyPr>
                  </wps:wsp>
                </a:graphicData>
              </a:graphic>
            </wp:anchor>
          </w:drawing>
        </mc:Choice>
        <mc:Fallback>
          <w:pict>
            <v:shape id="_x0000_s1033" type="#_x0000_t202" style="position:absolute;margin-left:56.700000000000003pt;margin-top:812.39999999999998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2024-1594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723265</wp:posOffset>
              </wp:positionH>
              <wp:positionV relativeFrom="page">
                <wp:posOffset>10092690</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2024-1594</w:t>
                          </w:r>
                        </w:p>
                      </w:txbxContent>
                    </wps:txbx>
                    <wps:bodyPr wrap="none" lIns="0" tIns="0" rIns="0" bIns="0">
                      <a:spAutoFit/>
                    </wps:bodyPr>
                  </wps:wsp>
                </a:graphicData>
              </a:graphic>
            </wp:anchor>
          </w:drawing>
        </mc:Choice>
        <mc:Fallback>
          <w:pict>
            <v:shape id="_x0000_s1037" type="#_x0000_t202" style="position:absolute;margin-left:56.950000000000003pt;margin-top:794.70000000000005pt;width:51.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2024-1594</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723265</wp:posOffset>
              </wp:positionH>
              <wp:positionV relativeFrom="page">
                <wp:posOffset>10092690</wp:posOffset>
              </wp:positionV>
              <wp:extent cx="648970" cy="100330"/>
              <wp:wrapNone/>
              <wp:docPr id="17" name="Shape 1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2024-1594</w:t>
                          </w:r>
                        </w:p>
                      </w:txbxContent>
                    </wps:txbx>
                    <wps:bodyPr wrap="none" lIns="0" tIns="0" rIns="0" bIns="0">
                      <a:spAutoFit/>
                    </wps:bodyPr>
                  </wps:wsp>
                </a:graphicData>
              </a:graphic>
            </wp:anchor>
          </w:drawing>
        </mc:Choice>
        <mc:Fallback>
          <w:pict>
            <v:shape id="_x0000_s1043" type="#_x0000_t202" style="position:absolute;margin-left:56.950000000000003pt;margin-top:794.70000000000005pt;width:51.100000000000001pt;height:7.9000000000000004pt;z-index:-18874405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2024-1594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3923665</wp:posOffset>
              </wp:positionH>
              <wp:positionV relativeFrom="page">
                <wp:posOffset>442595</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8.94999999999999pt;margin-top:34.850000000000001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3923665</wp:posOffset>
              </wp:positionH>
              <wp:positionV relativeFrom="page">
                <wp:posOffset>476250</wp:posOffset>
              </wp:positionV>
              <wp:extent cx="64135" cy="103505"/>
              <wp:wrapNone/>
              <wp:docPr id="9" name="Shape 9"/>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8.94999999999999pt;margin-top:37.5pt;width:5.0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3923665</wp:posOffset>
              </wp:positionH>
              <wp:positionV relativeFrom="page">
                <wp:posOffset>442595</wp:posOffset>
              </wp:positionV>
              <wp:extent cx="67310" cy="103505"/>
              <wp:wrapNone/>
              <wp:docPr id="13" name="Shape 1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8.94999999999999pt;margin-top:34.850000000000001pt;width:5.29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3923665</wp:posOffset>
              </wp:positionH>
              <wp:positionV relativeFrom="page">
                <wp:posOffset>476250</wp:posOffset>
              </wp:positionV>
              <wp:extent cx="64135" cy="103505"/>
              <wp:wrapNone/>
              <wp:docPr id="15" name="Shape 1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8.94999999999999pt;margin-top:37.5pt;width:5.0499999999999998pt;height:8.1500000000000004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Основной текст (3)_"/>
    <w:basedOn w:val="DefaultParagraphFont"/>
    <w:link w:val="Style15"/>
    <w:rPr>
      <w:rFonts w:ascii="Times New Roman" w:eastAsia="Times New Roman" w:hAnsi="Times New Roman" w:cs="Times New Roman"/>
      <w:b/>
      <w:bCs/>
      <w:i w:val="0"/>
      <w:iCs w:val="0"/>
      <w:smallCaps w:val="0"/>
      <w:strike w:val="0"/>
      <w:color w:val="262626"/>
      <w:sz w:val="11"/>
      <w:szCs w:val="11"/>
      <w:u w:val="none"/>
    </w:rPr>
  </w:style>
  <w:style w:type="character" w:customStyle="1" w:styleId="CharStyle19">
    <w:name w:val="Основной текст (2)_"/>
    <w:basedOn w:val="DefaultParagraphFont"/>
    <w:link w:val="Style18"/>
    <w:rPr>
      <w:rFonts w:ascii="Arial" w:eastAsia="Arial" w:hAnsi="Arial" w:cs="Arial"/>
      <w:b w:val="0"/>
      <w:bCs w:val="0"/>
      <w:i w:val="0"/>
      <w:iCs w:val="0"/>
      <w:smallCaps w:val="0"/>
      <w:strike w:val="0"/>
      <w:color w:val="4E4E4E"/>
      <w:sz w:val="12"/>
      <w:szCs w:val="12"/>
      <w:u w:val="none"/>
    </w:rPr>
  </w:style>
  <w:style w:type="paragraph" w:customStyle="1" w:styleId="Style2">
    <w:name w:val="Основной текст (4)"/>
    <w:basedOn w:val="Normal"/>
    <w:link w:val="CharStyle3"/>
    <w:pPr>
      <w:widowControl w:val="0"/>
      <w:shd w:val="clear" w:color="auto" w:fill="auto"/>
      <w:spacing w:after="18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6">
    <w:name w:val="Основной текст"/>
    <w:basedOn w:val="Normal"/>
    <w:link w:val="CharStyle7"/>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Основной текст (3)"/>
    <w:basedOn w:val="Normal"/>
    <w:link w:val="CharStyle16"/>
    <w:pPr>
      <w:widowControl w:val="0"/>
      <w:shd w:val="clear" w:color="auto" w:fill="auto"/>
    </w:pPr>
    <w:rPr>
      <w:rFonts w:ascii="Times New Roman" w:eastAsia="Times New Roman" w:hAnsi="Times New Roman" w:cs="Times New Roman"/>
      <w:b/>
      <w:bCs/>
      <w:i w:val="0"/>
      <w:iCs w:val="0"/>
      <w:smallCaps w:val="0"/>
      <w:strike w:val="0"/>
      <w:color w:val="262626"/>
      <w:sz w:val="11"/>
      <w:szCs w:val="11"/>
      <w:u w:val="none"/>
    </w:rPr>
  </w:style>
  <w:style w:type="paragraph" w:customStyle="1" w:styleId="Style18">
    <w:name w:val="Основной текст (2)"/>
    <w:basedOn w:val="Normal"/>
    <w:link w:val="CharStyle19"/>
    <w:pPr>
      <w:widowControl w:val="0"/>
      <w:shd w:val="clear" w:color="auto" w:fill="auto"/>
      <w:ind w:left="3820"/>
    </w:pPr>
    <w:rPr>
      <w:rFonts w:ascii="Arial" w:eastAsia="Arial" w:hAnsi="Arial" w:cs="Arial"/>
      <w:b w:val="0"/>
      <w:bCs w:val="0"/>
      <w:i w:val="0"/>
      <w:iCs w:val="0"/>
      <w:smallCaps w:val="0"/>
      <w:strike w:val="0"/>
      <w:color w:val="4E4E4E"/>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s>
</file>