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59753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597535"/>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after="4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ФЕДЕРАЛЬНАЯ</w:t>
      </w:r>
    </w:p>
    <w:p>
      <w:pPr>
        <w:pStyle w:val="Style5"/>
        <w:keepNext w:val="0"/>
        <w:keepLines w:val="0"/>
        <w:widowControl w:val="0"/>
        <w:shd w:val="clear" w:color="auto" w:fill="auto"/>
        <w:bidi w:val="0"/>
        <w:spacing w:before="0" w:after="160" w:line="240" w:lineRule="auto"/>
        <w:ind w:left="0" w:right="0" w:firstLine="620"/>
        <w:jc w:val="both"/>
        <w:rPr>
          <w:sz w:val="16"/>
          <w:szCs w:val="16"/>
        </w:rPr>
      </w:pPr>
      <w:r>
        <w:rPr>
          <w:b/>
          <w:bCs/>
          <w:color w:val="000000"/>
          <w:spacing w:val="0"/>
          <w:w w:val="100"/>
          <w:position w:val="0"/>
          <w:sz w:val="16"/>
          <w:szCs w:val="16"/>
          <w:shd w:val="clear" w:color="auto" w:fill="auto"/>
          <w:lang w:val="ru-RU" w:eastAsia="ru-RU" w:bidi="ru-RU"/>
        </w:rP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color w:val="000000"/>
          <w:spacing w:val="0"/>
          <w:w w:val="100"/>
          <w:position w:val="0"/>
          <w:shd w:val="clear" w:color="auto" w:fill="auto"/>
          <w:lang w:val="ru-RU" w:eastAsia="ru-RU" w:bidi="ru-RU"/>
        </w:rPr>
        <w:t>УПРАВЛЕНИЕ</w:t>
        <w:br/>
        <w:t>Федеральной антимонопольной службы</w:t>
        <w:br/>
        <w:t>по Тверской области</w:t>
      </w:r>
    </w:p>
    <w:p>
      <w:pPr>
        <w:pStyle w:val="Style5"/>
        <w:keepNext w:val="0"/>
        <w:keepLines w:val="0"/>
        <w:widowControl w:val="0"/>
        <w:shd w:val="clear" w:color="auto" w:fill="auto"/>
        <w:bidi w:val="0"/>
        <w:spacing w:before="0" w:after="0" w:line="307" w:lineRule="auto"/>
        <w:ind w:left="0" w:right="0" w:firstLine="0"/>
        <w:jc w:val="center"/>
      </w:pPr>
      <w:r>
        <w:rPr>
          <w:color w:val="000000"/>
          <w:spacing w:val="0"/>
          <w:w w:val="100"/>
          <w:position w:val="0"/>
          <w:shd w:val="clear" w:color="auto" w:fill="auto"/>
          <w:lang w:val="ru-RU" w:eastAsia="ru-RU" w:bidi="ru-RU"/>
        </w:rPr>
        <w:t>ул. Советская. 23. г. Тверь, 170100</w:t>
        <w:br/>
        <w:t>тел. (4822) 32-08-32</w:t>
      </w:r>
    </w:p>
    <w:p>
      <w:pPr>
        <w:pStyle w:val="Style5"/>
        <w:keepNext w:val="0"/>
        <w:keepLines w:val="0"/>
        <w:widowControl w:val="0"/>
        <w:shd w:val="clear" w:color="auto" w:fill="auto"/>
        <w:bidi w:val="0"/>
        <w:spacing w:before="0" w:after="160" w:line="307" w:lineRule="auto"/>
        <w:ind w:left="0" w:right="0" w:firstLine="0"/>
        <w:jc w:val="center"/>
      </w:pPr>
      <w:r>
        <w:rPr>
          <w:color w:val="000000"/>
          <w:spacing w:val="0"/>
          <w:w w:val="100"/>
          <w:position w:val="0"/>
          <w:shd w:val="clear" w:color="auto" w:fill="auto"/>
          <w:lang w:val="ru-RU" w:eastAsia="ru-RU" w:bidi="ru-RU"/>
        </w:rPr>
        <w:t>е-тпаП: ЮбА.а Гах.доу.ги</w:t>
      </w:r>
    </w:p>
    <w:p>
      <w:pPr>
        <w:pStyle w:val="Style10"/>
        <w:keepNext/>
        <w:keepLines/>
        <w:widowControl w:val="0"/>
        <w:shd w:val="clear" w:color="auto" w:fill="auto"/>
        <w:bidi w:val="0"/>
        <w:spacing w:before="0" w:line="240" w:lineRule="auto"/>
        <w:ind w:left="0" w:right="0" w:firstLine="0"/>
        <w:jc w:val="both"/>
      </w:pPr>
      <w:bookmarkStart w:id="0" w:name="bookmark0"/>
      <w:r>
        <w:rPr>
          <w:spacing w:val="0"/>
          <w:w w:val="100"/>
          <w:position w:val="0"/>
          <w:u w:val="none"/>
          <w:shd w:val="clear" w:color="auto" w:fill="auto"/>
          <w:lang w:val="ru-RU" w:eastAsia="ru-RU" w:bidi="ru-RU"/>
        </w:rPr>
        <w:t xml:space="preserve">Ж.ЖА </w:t>
      </w:r>
      <w:r>
        <w:rPr>
          <w:color w:val="000000"/>
          <w:spacing w:val="0"/>
          <w:w w:val="100"/>
          <w:position w:val="0"/>
          <w:u w:val="none"/>
          <w:shd w:val="clear" w:color="auto" w:fill="auto"/>
          <w:lang w:val="ru-RU" w:eastAsia="ru-RU" w:bidi="ru-RU"/>
        </w:rPr>
        <w:t xml:space="preserve">ж </w:t>
      </w:r>
      <w:r>
        <w:rPr>
          <w:spacing w:val="0"/>
          <w:w w:val="100"/>
          <w:position w:val="0"/>
          <w:shd w:val="clear" w:color="auto" w:fill="auto"/>
          <w:lang w:val="ru-RU" w:eastAsia="ru-RU" w:bidi="ru-RU"/>
        </w:rPr>
        <w:t>А/лйч</w:t>
      </w:r>
      <w:bookmarkEnd w:id="0"/>
    </w:p>
    <w:p>
      <w:pPr>
        <w:pStyle w:val="Style8"/>
        <w:keepNext w:val="0"/>
        <w:keepLines w:val="0"/>
        <w:widowControl w:val="0"/>
        <w:shd w:val="clear" w:color="auto" w:fill="auto"/>
        <w:bidi w:val="0"/>
        <w:spacing w:before="0" w:after="560" w:line="240" w:lineRule="auto"/>
        <w:ind w:left="0" w:right="0" w:firstLine="0"/>
        <w:jc w:val="both"/>
      </w:pPr>
      <w:r>
        <w:rPr>
          <w:color w:val="000000"/>
          <w:spacing w:val="0"/>
          <w:w w:val="100"/>
          <w:position w:val="0"/>
          <w:shd w:val="clear" w:color="auto" w:fill="auto"/>
          <w:lang w:val="ru-RU" w:eastAsia="ru-RU" w:bidi="ru-RU"/>
        </w:rPr>
        <w:t>На №</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I Решение 069/06/106-1295/2023</w:t>
      </w:r>
    </w:p>
    <w:p>
      <w:pPr>
        <w:pStyle w:val="Style14"/>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Заказчики:</w:t>
      </w:r>
    </w:p>
    <w:p>
      <w:pPr>
        <w:pStyle w:val="Style14"/>
        <w:keepNext w:val="0"/>
        <w:keepLines w:val="0"/>
        <w:widowControl w:val="0"/>
        <w:shd w:val="clear" w:color="auto" w:fill="auto"/>
        <w:bidi w:val="0"/>
        <w:spacing w:before="0" w:after="260" w:line="254" w:lineRule="auto"/>
        <w:ind w:left="0" w:right="0" w:firstLine="0"/>
        <w:jc w:val="both"/>
      </w:pPr>
      <w:r>
        <w:rPr>
          <w:color w:val="000000"/>
          <w:spacing w:val="0"/>
          <w:w w:val="100"/>
          <w:position w:val="0"/>
          <w:shd w:val="clear" w:color="auto" w:fill="auto"/>
          <w:lang w:val="ru-RU" w:eastAsia="ru-RU" w:bidi="ru-RU"/>
        </w:rPr>
        <w:t>по списку (э)</w:t>
      </w:r>
    </w:p>
    <w:p>
      <w:pPr>
        <w:pStyle w:val="Style14"/>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Уполномоченный орган:</w:t>
      </w:r>
    </w:p>
    <w:p>
      <w:pPr>
        <w:pStyle w:val="Style14"/>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Комитет государственного заказа Тверской области</w:t>
      </w:r>
    </w:p>
    <w:p>
      <w:pPr>
        <w:pStyle w:val="Style14"/>
        <w:keepNext w:val="0"/>
        <w:keepLines w:val="0"/>
        <w:widowControl w:val="0"/>
        <w:shd w:val="clear" w:color="auto" w:fill="auto"/>
        <w:bidi w:val="0"/>
        <w:spacing w:before="0" w:after="260" w:line="254" w:lineRule="auto"/>
        <w:ind w:left="0" w:right="0" w:firstLine="0"/>
        <w:jc w:val="both"/>
      </w:pPr>
      <w:r>
        <w:rPr>
          <w:color w:val="000000"/>
          <w:spacing w:val="0"/>
          <w:w w:val="100"/>
          <w:position w:val="0"/>
          <w:shd w:val="clear" w:color="auto" w:fill="auto"/>
          <w:lang w:val="ru-RU" w:eastAsia="ru-RU" w:bidi="ru-RU"/>
        </w:rPr>
        <w:t>е-тай: кот_§о87акаха@1уегге§.ги (э)</w:t>
      </w:r>
    </w:p>
    <w:p>
      <w:pPr>
        <w:pStyle w:val="Style14"/>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Заявитель:</w:t>
      </w:r>
    </w:p>
    <w:p>
      <w:pPr>
        <w:pStyle w:val="Style14"/>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ООО «А - Фарм»</w:t>
      </w:r>
    </w:p>
    <w:p>
      <w:pPr>
        <w:pStyle w:val="Style14"/>
        <w:keepNext w:val="0"/>
        <w:keepLines w:val="0"/>
        <w:widowControl w:val="0"/>
        <w:shd w:val="clear" w:color="auto" w:fill="auto"/>
        <w:bidi w:val="0"/>
        <w:spacing w:before="0" w:after="260" w:line="254" w:lineRule="auto"/>
        <w:ind w:left="0" w:right="0" w:firstLine="0"/>
        <w:jc w:val="both"/>
      </w:pPr>
      <w:r>
        <w:rPr>
          <w:color w:val="000000"/>
          <w:spacing w:val="0"/>
          <w:w w:val="100"/>
          <w:position w:val="0"/>
          <w:shd w:val="clear" w:color="auto" w:fill="auto"/>
          <w:lang w:val="ru-RU" w:eastAsia="ru-RU" w:bidi="ru-RU"/>
        </w:rPr>
        <w:t>е-тай: ОООкотрАГагт@§тай.сот (э)</w:t>
      </w:r>
    </w:p>
    <w:p>
      <w:pPr>
        <w:pStyle w:val="Style14"/>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Оператор электронной площадки:</w:t>
      </w:r>
    </w:p>
    <w:p>
      <w:pPr>
        <w:pStyle w:val="Style14"/>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ООО «РТС-тендер»</w:t>
      </w:r>
    </w:p>
    <w:p>
      <w:pPr>
        <w:pStyle w:val="Style14"/>
        <w:keepNext w:val="0"/>
        <w:keepLines w:val="0"/>
        <w:widowControl w:val="0"/>
        <w:shd w:val="clear" w:color="auto" w:fill="auto"/>
        <w:bidi w:val="0"/>
        <w:spacing w:before="0" w:after="0" w:line="254" w:lineRule="auto"/>
        <w:ind w:left="0" w:right="0" w:firstLine="0"/>
        <w:jc w:val="both"/>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603" w:right="1021" w:bottom="1503" w:left="1533" w:header="0" w:footer="3" w:gutter="0"/>
          <w:pgNumType w:start="1"/>
          <w:cols w:num="2" w:space="720" w:equalWidth="0">
            <w:col w:w="3739" w:space="1330"/>
            <w:col w:w="4277"/>
          </w:cols>
          <w:noEndnote/>
          <w:titlePg/>
          <w:rtlGutter w:val="0"/>
          <w:docGrid w:linePitch="360"/>
        </w:sectPr>
      </w:pPr>
      <w:r>
        <w:rPr>
          <w:color w:val="000000"/>
          <w:spacing w:val="0"/>
          <w:w w:val="100"/>
          <w:position w:val="0"/>
          <w:shd w:val="clear" w:color="auto" w:fill="auto"/>
          <w:lang w:val="ru-RU" w:eastAsia="ru-RU" w:bidi="ru-RU"/>
        </w:rPr>
        <w:t>е-тай: ко@П8-1епйег.ги (э)</w:t>
      </w:r>
    </w:p>
    <w:p>
      <w:pPr>
        <w:widowControl w:val="0"/>
        <w:spacing w:line="240" w:lineRule="exact"/>
        <w:rPr>
          <w:sz w:val="19"/>
          <w:szCs w:val="19"/>
        </w:rPr>
      </w:pPr>
    </w:p>
    <w:p>
      <w:pPr>
        <w:widowControl w:val="0"/>
        <w:spacing w:before="62" w:after="6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57" w:right="0" w:bottom="1148" w:left="0" w:header="0" w:footer="3" w:gutter="0"/>
          <w:cols w:space="720"/>
          <w:noEndnote/>
          <w:rtlGutter w:val="0"/>
          <w:docGrid w:linePitch="360"/>
        </w:sectPr>
      </w:pPr>
    </w:p>
    <w:p>
      <w:pPr>
        <w:pStyle w:val="Style1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4"/>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по делу № 069/06/106-1295/2023 о рассмотрении жалобы на нарушение</w:t>
        <w:br/>
        <w:t>законодательства о контрактной системе</w:t>
      </w:r>
    </w:p>
    <w:p>
      <w:pPr>
        <w:pStyle w:val="Style14"/>
        <w:keepNext w:val="0"/>
        <w:keepLines w:val="0"/>
        <w:widowControl w:val="0"/>
        <w:shd w:val="clear" w:color="auto" w:fill="auto"/>
        <w:bidi w:val="0"/>
        <w:spacing w:before="0" w:after="0" w:line="254" w:lineRule="auto"/>
        <w:ind w:left="0" w:right="0" w:firstLine="0"/>
        <w:jc w:val="left"/>
      </w:pPr>
      <w:r>
        <w:rPr>
          <w:color w:val="000000"/>
          <w:spacing w:val="0"/>
          <w:w w:val="100"/>
          <w:position w:val="0"/>
          <w:shd w:val="clear" w:color="auto" w:fill="auto"/>
          <w:lang w:val="ru-RU" w:eastAsia="ru-RU" w:bidi="ru-RU"/>
        </w:rPr>
        <w:t>Резолютивная часть решения оглашена «12» января 2024 г.</w:t>
      </w:r>
    </w:p>
    <w:p>
      <w:pPr>
        <w:pStyle w:val="Style14"/>
        <w:keepNext w:val="0"/>
        <w:keepLines w:val="0"/>
        <w:widowControl w:val="0"/>
        <w:shd w:val="clear" w:color="auto" w:fill="auto"/>
        <w:bidi w:val="0"/>
        <w:spacing w:before="0" w:after="260" w:line="254" w:lineRule="auto"/>
        <w:ind w:left="0" w:right="0" w:firstLine="0"/>
        <w:jc w:val="left"/>
      </w:pPr>
      <w:r>
        <w:rPr>
          <w:color w:val="000000"/>
          <w:spacing w:val="0"/>
          <w:w w:val="100"/>
          <w:position w:val="0"/>
          <w:shd w:val="clear" w:color="auto" w:fill="auto"/>
          <w:lang w:val="ru-RU" w:eastAsia="ru-RU" w:bidi="ru-RU"/>
        </w:rPr>
        <w:t>В полном объеме решение изготовлено «17» января 2024 г. г. Тверь</w:t>
      </w:r>
    </w:p>
    <w:p>
      <w:pPr>
        <w:pStyle w:val="Style14"/>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Тверской области по контролю в сфере закупок (далее - Комиссия, Тверское УФАС России) в следующем составе:</w:t>
      </w:r>
    </w:p>
    <w:p>
      <w:pPr>
        <w:pStyle w:val="Style14"/>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председатель Комиссии:</w:t>
      </w:r>
    </w:p>
    <w:p>
      <w:pPr>
        <w:pStyle w:val="Style14"/>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Ключникова Е.В. - заместитель руководителя управления - начальник отдела контроля закупок,</w:t>
      </w:r>
    </w:p>
    <w:p>
      <w:pPr>
        <w:pStyle w:val="Style14"/>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члены Комиссии:</w:t>
      </w:r>
    </w:p>
    <w:p>
      <w:pPr>
        <w:pStyle w:val="Style14"/>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Винницкая П.Д. - заместитель начальника отдела контроля закупок,</w:t>
      </w:r>
    </w:p>
    <w:p>
      <w:pPr>
        <w:pStyle w:val="Style14"/>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Быков К.О. - ведущий специалист-эксперт отдела контроля закупок,</w:t>
      </w:r>
    </w:p>
    <w:p>
      <w:pPr>
        <w:pStyle w:val="Style14"/>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участии посредством видеоконференц-связи представителя Комитета государственного заказа Тверской области (далее - Уполномоченный орган): Заикиной Н.М. (по доверенности),</w:t>
      </w:r>
    </w:p>
    <w:p>
      <w:pPr>
        <w:pStyle w:val="Style14"/>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представители Заказчиков, ООО «А - Фарм» (далее - Заявитель) на заседание Комиссии не явились, о дате, времени и месте рассмотрения посредством видеоконференц-связи уведомлены надлежащим образом,</w:t>
      </w:r>
    </w:p>
    <w:p>
      <w:pPr>
        <w:pStyle w:val="Style14"/>
        <w:keepNext w:val="0"/>
        <w:keepLines w:val="0"/>
        <w:widowControl w:val="0"/>
        <w:shd w:val="clear" w:color="auto" w:fill="auto"/>
        <w:bidi w:val="0"/>
        <w:spacing w:before="0" w:after="400"/>
        <w:ind w:left="0" w:right="0" w:firstLine="700"/>
        <w:jc w:val="both"/>
      </w:pPr>
      <w:r>
        <w:rPr>
          <w:color w:val="000000"/>
          <w:spacing w:val="0"/>
          <w:w w:val="100"/>
          <w:position w:val="0"/>
          <w:shd w:val="clear" w:color="auto" w:fill="auto"/>
          <w:lang w:val="ru-RU" w:eastAsia="ru-RU" w:bidi="ru-RU"/>
        </w:rPr>
        <w:t>рассмотрев посредством видеооконференц-связи,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9"/>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1111111111111III11111111</w:t>
      </w:r>
      <w:bookmarkEnd w:id="2"/>
    </w:p>
    <w:p>
      <w:pPr>
        <w:pStyle w:val="Style14"/>
        <w:keepNext w:val="0"/>
        <w:keepLines w:val="0"/>
        <w:widowControl w:val="0"/>
        <w:shd w:val="clear" w:color="auto" w:fill="auto"/>
        <w:bidi w:val="0"/>
        <w:spacing w:before="0" w:after="240" w:line="254" w:lineRule="auto"/>
        <w:ind w:left="0" w:right="0" w:firstLine="0"/>
        <w:jc w:val="center"/>
      </w:pPr>
      <w:r>
        <w:rPr>
          <w:color w:val="000000"/>
          <w:spacing w:val="0"/>
          <w:w w:val="100"/>
          <w:position w:val="0"/>
          <w:shd w:val="clear" w:color="auto" w:fill="auto"/>
          <w:lang w:val="ru-RU" w:eastAsia="ru-RU" w:bidi="ru-RU"/>
        </w:rPr>
        <w:t>УСТАНОВИЛА:</w:t>
      </w:r>
    </w:p>
    <w:p>
      <w:pPr>
        <w:pStyle w:val="Style14"/>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В Тверское УФАС России 28.12.2023 поступила жалоба Заявителя на действия закупочной комиссии при проведении электронного аукциона на поставку лекарственных препаратов для медицинского применения (Имипенем + Циластатин) на 2024 год (совместная закупка №15758) (извещение от 14.12.2023 № 0136500001123008004 на официальном сайте Единой информационной системы в сфере закупок - уумпу.хакирк1.§оу.ги) (далее - Аукцион).</w:t>
      </w:r>
    </w:p>
    <w:p>
      <w:pPr>
        <w:pStyle w:val="Style14"/>
        <w:keepNext w:val="0"/>
        <w:keepLines w:val="0"/>
        <w:widowControl w:val="0"/>
        <w:shd w:val="clear" w:color="auto" w:fill="auto"/>
        <w:bidi w:val="0"/>
        <w:spacing w:before="0" w:after="240" w:line="254" w:lineRule="auto"/>
        <w:ind w:left="0" w:right="0" w:firstLine="720"/>
        <w:jc w:val="both"/>
      </w:pPr>
      <w:r>
        <w:rPr>
          <w:color w:val="000000"/>
          <w:spacing w:val="0"/>
          <w:w w:val="100"/>
          <w:position w:val="0"/>
          <w:shd w:val="clear" w:color="auto" w:fill="auto"/>
          <w:lang w:val="ru-RU" w:eastAsia="ru-RU" w:bidi="ru-RU"/>
        </w:rPr>
        <w:t>Согласно доводу жалобы, при рассмотрении и оценке заявок участников запроса котировок, аукционной комиссией нарушены положения Федерального закона № 44 ФЗ, Приказа Минфина России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Постановления Правительства Российской Федерации от 30.11.2015г. № 1289 «Об ограничениях и условиях допуска происходящих из иностранных государств лекарственных препаратов, для целей осуществления закупок для обеспечения государственных и муниципальных нужд». Участник с идентификационным номером заявки - № 115603195 необоснованно признан победителем, при наличии участника, предлагающего к поставке лекарственный препарат с полным циклом производства на территории ЕАЭС. Таким образом, нарушены права и законные интересы Заявителя, который случае соблюдения требований п. 1.4. Приказа Минфина России от 04.06.2018 г. № 126н, должен быть признан победителем и заключить контракт с заказчиком по результатам запроса котировок.</w:t>
      </w:r>
    </w:p>
    <w:p>
      <w:pPr>
        <w:pStyle w:val="Style14"/>
        <w:keepNext w:val="0"/>
        <w:keepLines w:val="0"/>
        <w:widowControl w:val="0"/>
        <w:shd w:val="clear" w:color="auto" w:fill="auto"/>
        <w:bidi w:val="0"/>
        <w:spacing w:before="0" w:after="240" w:line="264" w:lineRule="auto"/>
        <w:ind w:left="0" w:right="0" w:firstLine="720"/>
        <w:jc w:val="both"/>
      </w:pPr>
      <w:r>
        <w:rPr>
          <w:color w:val="000000"/>
          <w:spacing w:val="0"/>
          <w:w w:val="100"/>
          <w:position w:val="0"/>
          <w:shd w:val="clear" w:color="auto" w:fill="auto"/>
          <w:lang w:val="ru-RU" w:eastAsia="ru-RU" w:bidi="ru-RU"/>
        </w:rPr>
        <w:t>Представитель Уполномоченного органа с доводами жалобы не согласился, представил письменные пояснения.</w:t>
      </w:r>
    </w:p>
    <w:p>
      <w:pPr>
        <w:pStyle w:val="Style14"/>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Комиссия Тверского УФАС России, рассмотрев материалы дела, заслушав представителей лиц, участвовавших в заседании, приходит к следующим выводам.</w:t>
      </w:r>
    </w:p>
    <w:p>
      <w:pPr>
        <w:pStyle w:val="Style14"/>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В соответствии с извещением о проведении Аукциона составленным при осуществлении закупки:</w:t>
      </w:r>
    </w:p>
    <w:p>
      <w:pPr>
        <w:pStyle w:val="Style14"/>
        <w:keepNext w:val="0"/>
        <w:keepLines w:val="0"/>
        <w:widowControl w:val="0"/>
        <w:numPr>
          <w:ilvl w:val="0"/>
          <w:numId w:val="1"/>
        </w:numPr>
        <w:shd w:val="clear" w:color="auto" w:fill="auto"/>
        <w:tabs>
          <w:tab w:pos="1373" w:val="left"/>
        </w:tabs>
        <w:bidi w:val="0"/>
        <w:spacing w:before="0" w:after="0" w:line="257" w:lineRule="auto"/>
        <w:ind w:left="0" w:right="0" w:firstLine="720"/>
        <w:jc w:val="both"/>
      </w:pPr>
      <w:r>
        <w:rPr>
          <w:color w:val="000000"/>
          <w:spacing w:val="0"/>
          <w:w w:val="100"/>
          <w:position w:val="0"/>
          <w:shd w:val="clear" w:color="auto" w:fill="auto"/>
          <w:lang w:val="ru-RU" w:eastAsia="ru-RU" w:bidi="ru-RU"/>
        </w:rPr>
        <w:t>извещение о проведении Аукциона размещено на Официальном сайте 14.12.2023;</w:t>
      </w:r>
    </w:p>
    <w:p>
      <w:pPr>
        <w:pStyle w:val="Style14"/>
        <w:keepNext w:val="0"/>
        <w:keepLines w:val="0"/>
        <w:widowControl w:val="0"/>
        <w:numPr>
          <w:ilvl w:val="0"/>
          <w:numId w:val="1"/>
        </w:numPr>
        <w:shd w:val="clear" w:color="auto" w:fill="auto"/>
        <w:tabs>
          <w:tab w:pos="1373" w:val="left"/>
        </w:tabs>
        <w:bidi w:val="0"/>
        <w:spacing w:before="0" w:after="0" w:line="257"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- 5 442 000,00 рублей;</w:t>
      </w:r>
    </w:p>
    <w:p>
      <w:pPr>
        <w:pStyle w:val="Style14"/>
        <w:keepNext w:val="0"/>
        <w:keepLines w:val="0"/>
        <w:widowControl w:val="0"/>
        <w:numPr>
          <w:ilvl w:val="0"/>
          <w:numId w:val="1"/>
        </w:numPr>
        <w:shd w:val="clear" w:color="auto" w:fill="auto"/>
        <w:tabs>
          <w:tab w:pos="1373" w:val="left"/>
        </w:tabs>
        <w:bidi w:val="0"/>
        <w:spacing w:before="0" w:after="0" w:line="257" w:lineRule="auto"/>
        <w:ind w:left="0" w:right="0" w:firstLine="720"/>
        <w:jc w:val="both"/>
      </w:pPr>
      <w:r>
        <w:rPr>
          <w:color w:val="000000"/>
          <w:spacing w:val="0"/>
          <w:w w:val="100"/>
          <w:position w:val="0"/>
          <w:shd w:val="clear" w:color="auto" w:fill="auto"/>
          <w:lang w:val="ru-RU" w:eastAsia="ru-RU" w:bidi="ru-RU"/>
        </w:rPr>
        <w:t>дата окончания подачи заявок - 22.12.2023;</w:t>
      </w:r>
    </w:p>
    <w:p>
      <w:pPr>
        <w:pStyle w:val="Style14"/>
        <w:keepNext w:val="0"/>
        <w:keepLines w:val="0"/>
        <w:widowControl w:val="0"/>
        <w:numPr>
          <w:ilvl w:val="0"/>
          <w:numId w:val="1"/>
        </w:numPr>
        <w:shd w:val="clear" w:color="auto" w:fill="auto"/>
        <w:tabs>
          <w:tab w:pos="1373" w:val="left"/>
          <w:tab w:pos="1382" w:val="left"/>
        </w:tabs>
        <w:bidi w:val="0"/>
        <w:spacing w:before="0" w:after="0" w:line="257" w:lineRule="auto"/>
        <w:ind w:left="0" w:right="0" w:firstLine="720"/>
        <w:jc w:val="both"/>
      </w:pPr>
      <w:r>
        <w:rPr>
          <w:color w:val="000000"/>
          <w:spacing w:val="0"/>
          <w:w w:val="100"/>
          <w:position w:val="0"/>
          <w:shd w:val="clear" w:color="auto" w:fill="auto"/>
          <w:lang w:val="ru-RU" w:eastAsia="ru-RU" w:bidi="ru-RU"/>
        </w:rPr>
        <w:t>дата подачи ценовых предложений - 22.12.2023, подано 5 ценовых предложений;</w:t>
      </w:r>
    </w:p>
    <w:p>
      <w:pPr>
        <w:pStyle w:val="Style14"/>
        <w:keepNext w:val="0"/>
        <w:keepLines w:val="0"/>
        <w:widowControl w:val="0"/>
        <w:numPr>
          <w:ilvl w:val="0"/>
          <w:numId w:val="1"/>
        </w:numPr>
        <w:shd w:val="clear" w:color="auto" w:fill="auto"/>
        <w:tabs>
          <w:tab w:pos="1373" w:val="left"/>
        </w:tabs>
        <w:bidi w:val="0"/>
        <w:spacing w:before="0" w:after="240" w:line="257"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- 25.12.2023, четыре заявки признаны соответствующими требованиям Аукциона, определен победитель.</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пунктом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w:t>
      </w:r>
      <w:r>
        <w:rPr>
          <w:color w:val="000000"/>
          <w:spacing w:val="0"/>
          <w:w w:val="100"/>
          <w:position w:val="0"/>
          <w:shd w:val="clear" w:color="auto" w:fill="auto"/>
          <w:lang w:val="ru-RU" w:eastAsia="ru-RU" w:bidi="ru-RU"/>
        </w:rPr>
        <w:t>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указанной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Заказчиком установлены ограничения в соответствии с Постановлением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 1289) и условия допуска, предусмотренные Приказом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И 126н).</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Пункт 1 Постановления № 1289 устанавливает, что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14"/>
        <w:keepNext w:val="0"/>
        <w:keepLines w:val="0"/>
        <w:widowControl w:val="0"/>
        <w:numPr>
          <w:ilvl w:val="0"/>
          <w:numId w:val="3"/>
        </w:numPr>
        <w:shd w:val="clear" w:color="auto" w:fill="auto"/>
        <w:tabs>
          <w:tab w:pos="894" w:val="left"/>
        </w:tabs>
        <w:bidi w:val="0"/>
        <w:spacing w:before="0" w:after="0"/>
        <w:ind w:left="0" w:right="0" w:firstLine="720"/>
        <w:jc w:val="both"/>
      </w:pPr>
      <w:r>
        <w:rPr>
          <w:color w:val="000000"/>
          <w:spacing w:val="0"/>
          <w:w w:val="100"/>
          <w:position w:val="0"/>
          <w:shd w:val="clear" w:color="auto" w:fill="auto"/>
          <w:lang w:val="ru-RU" w:eastAsia="ru-RU" w:bidi="ru-RU"/>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pPr>
        <w:pStyle w:val="Style14"/>
        <w:keepNext w:val="0"/>
        <w:keepLines w:val="0"/>
        <w:widowControl w:val="0"/>
        <w:numPr>
          <w:ilvl w:val="0"/>
          <w:numId w:val="3"/>
        </w:numPr>
        <w:shd w:val="clear" w:color="auto" w:fill="auto"/>
        <w:tabs>
          <w:tab w:pos="894" w:val="left"/>
        </w:tabs>
        <w:bidi w:val="0"/>
        <w:spacing w:before="0" w:after="0"/>
        <w:ind w:left="0" w:right="0" w:firstLine="720"/>
        <w:jc w:val="both"/>
      </w:pPr>
      <w:r>
        <w:rPr>
          <w:color w:val="000000"/>
          <w:spacing w:val="0"/>
          <w:w w:val="100"/>
          <w:position w:val="0"/>
          <w:shd w:val="clear" w:color="auto" w:fill="auto"/>
          <w:lang w:val="ru-RU" w:eastAsia="ru-RU" w:bidi="ru-RU"/>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от 26.07.2006 № 135-ФЗ «О защите конкуренции», при сопоставлении этих заявок (окончательных предложений).</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Пункт 2 Постановления № 1289 устанавливает, что подтверждением страны происхождения лекарственного препарата является один из следующих документов:</w:t>
      </w:r>
    </w:p>
    <w:p>
      <w:pPr>
        <w:pStyle w:val="Style14"/>
        <w:keepNext w:val="0"/>
        <w:keepLines w:val="0"/>
        <w:widowControl w:val="0"/>
        <w:numPr>
          <w:ilvl w:val="0"/>
          <w:numId w:val="5"/>
        </w:numPr>
        <w:shd w:val="clear" w:color="auto" w:fill="auto"/>
        <w:tabs>
          <w:tab w:pos="1118" w:val="left"/>
        </w:tabs>
        <w:bidi w:val="0"/>
        <w:spacing w:before="0" w:after="0"/>
        <w:ind w:left="0" w:right="0" w:firstLine="720"/>
        <w:jc w:val="both"/>
      </w:pPr>
      <w:r>
        <w:rPr>
          <w:color w:val="000000"/>
          <w:spacing w:val="0"/>
          <w:w w:val="100"/>
          <w:position w:val="0"/>
          <w:shd w:val="clear" w:color="auto" w:fill="auto"/>
          <w:lang w:val="ru-RU" w:eastAsia="ru-RU" w:bidi="ru-RU"/>
        </w:rPr>
        <w:t>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(далее - Правила), и в соответствии с критериями определения страны происхождения товаров, предусмотренными указанными Правилами;</w:t>
      </w:r>
    </w:p>
    <w:p>
      <w:pPr>
        <w:pStyle w:val="Style14"/>
        <w:keepNext w:val="0"/>
        <w:keepLines w:val="0"/>
        <w:widowControl w:val="0"/>
        <w:numPr>
          <w:ilvl w:val="0"/>
          <w:numId w:val="5"/>
        </w:numPr>
        <w:shd w:val="clear" w:color="auto" w:fill="auto"/>
        <w:tabs>
          <w:tab w:pos="1118" w:val="left"/>
        </w:tabs>
        <w:bidi w:val="0"/>
        <w:spacing w:before="0" w:after="0"/>
        <w:ind w:left="0" w:right="0" w:firstLine="720"/>
        <w:jc w:val="both"/>
      </w:pPr>
      <w:r>
        <w:rPr>
          <w:color w:val="000000"/>
          <w:spacing w:val="0"/>
          <w:w w:val="100"/>
          <w:position w:val="0"/>
          <w:shd w:val="clear" w:color="auto" w:fill="auto"/>
          <w:lang w:val="ru-RU" w:eastAsia="ru-RU" w:bidi="ru-RU"/>
        </w:rPr>
        <w:t>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Ы 719 "О подтверждении производства промышленной продукции на территории Российской Федерации";</w:t>
      </w:r>
    </w:p>
    <w:p>
      <w:pPr>
        <w:pStyle w:val="Style14"/>
        <w:keepNext w:val="0"/>
        <w:keepLines w:val="0"/>
        <w:widowControl w:val="0"/>
        <w:numPr>
          <w:ilvl w:val="0"/>
          <w:numId w:val="5"/>
        </w:numPr>
        <w:shd w:val="clear" w:color="auto" w:fill="auto"/>
        <w:tabs>
          <w:tab w:pos="1118" w:val="left"/>
        </w:tabs>
        <w:bidi w:val="0"/>
        <w:spacing w:before="0" w:after="0"/>
        <w:ind w:left="0" w:right="0" w:firstLine="720"/>
        <w:jc w:val="both"/>
      </w:pPr>
      <w:r>
        <w:rPr>
          <w:color w:val="000000"/>
          <w:spacing w:val="0"/>
          <w:w w:val="100"/>
          <w:position w:val="0"/>
          <w:shd w:val="clear" w:color="auto" w:fill="auto"/>
          <w:lang w:val="ru-RU" w:eastAsia="ru-RU" w:bidi="ru-RU"/>
        </w:rPr>
        <w:t>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 в соответствии с критериями определения страны происхождения товаров, предусмотренными указанными Правилами.</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После анализа заявок участников электронного аукциона, а также протокола подведения итогов электронного аукциона Комиссия установила, что одна заявка была отклонена ввиду того, что соответствующим участником электронного аукциона был предложен товар со странами происхождения, которые не являются членами Евразийского экономического союза, поскольку 6 заявок содержали предложение о поставке товара, страной происхождения которого является государство - член Евразийского экономического союза с приложением вышеуказанных документов.</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Пункт 1(1) Постановления № 1289 устанавливает, что в случае если после отклонения заявок (окончательных предложений) в порядке, установленном пунктом 1 Постановления № 1289,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Пункт 1(2) Постановления № 1289 устанавливает, что подтверждением соответствия лекарственного препарата и фармацевтической субстанции требованиям, указанным в пункте 1(1) Постановления № 1289, является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 № 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частью 1 статьи 45 Федерального закона «Об обращении лекарственных средств»,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пунктом 1.4 Приказа № 126н контракт заключается с участником закупки по предложенной им цене контракта при совокупности следующих условий:</w:t>
      </w:r>
    </w:p>
    <w:p>
      <w:pPr>
        <w:pStyle w:val="Style14"/>
        <w:keepNext w:val="0"/>
        <w:keepLines w:val="0"/>
        <w:widowControl w:val="0"/>
        <w:numPr>
          <w:ilvl w:val="0"/>
          <w:numId w:val="7"/>
        </w:numPr>
        <w:shd w:val="clear" w:color="auto" w:fill="auto"/>
        <w:tabs>
          <w:tab w:pos="999" w:val="left"/>
        </w:tabs>
        <w:bidi w:val="0"/>
        <w:spacing w:before="0" w:after="0"/>
        <w:ind w:left="0" w:right="0" w:firstLine="720"/>
        <w:jc w:val="both"/>
      </w:pPr>
      <w:r>
        <w:rPr>
          <w:color w:val="000000"/>
          <w:spacing w:val="0"/>
          <w:w w:val="100"/>
          <w:position w:val="0"/>
          <w:shd w:val="clear" w:color="auto" w:fill="auto"/>
          <w:lang w:val="ru-RU" w:eastAsia="ru-RU" w:bidi="ru-RU"/>
        </w:rPr>
        <w:t>заявка (окончательное предложение)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pPr>
        <w:pStyle w:val="Style14"/>
        <w:keepNext w:val="0"/>
        <w:keepLines w:val="0"/>
        <w:widowControl w:val="0"/>
        <w:numPr>
          <w:ilvl w:val="0"/>
          <w:numId w:val="7"/>
        </w:numPr>
        <w:shd w:val="clear" w:color="auto" w:fill="auto"/>
        <w:tabs>
          <w:tab w:pos="1009" w:val="left"/>
        </w:tabs>
        <w:bidi w:val="0"/>
        <w:spacing w:before="0" w:after="0"/>
        <w:ind w:left="0" w:right="0" w:firstLine="700"/>
        <w:jc w:val="both"/>
      </w:pPr>
      <w:r>
        <w:rPr>
          <w:color w:val="000000"/>
          <w:spacing w:val="0"/>
          <w:w w:val="100"/>
          <w:position w:val="0"/>
          <w:shd w:val="clear" w:color="auto" w:fill="auto"/>
          <w:lang w:val="ru-RU" w:eastAsia="ru-RU" w:bidi="ru-RU"/>
        </w:rPr>
        <w:t>заявка (окончательное предложение) такого участника закупки соответствует требованиям документации о закупке;</w:t>
      </w:r>
    </w:p>
    <w:p>
      <w:pPr>
        <w:pStyle w:val="Style14"/>
        <w:keepNext w:val="0"/>
        <w:keepLines w:val="0"/>
        <w:widowControl w:val="0"/>
        <w:numPr>
          <w:ilvl w:val="0"/>
          <w:numId w:val="7"/>
        </w:numPr>
        <w:shd w:val="clear" w:color="auto" w:fill="auto"/>
        <w:tabs>
          <w:tab w:pos="999" w:val="left"/>
        </w:tabs>
        <w:bidi w:val="0"/>
        <w:spacing w:before="0" w:after="0"/>
        <w:ind w:left="0" w:right="0" w:firstLine="700"/>
        <w:jc w:val="both"/>
      </w:pPr>
      <w:r>
        <w:rPr>
          <w:color w:val="000000"/>
          <w:spacing w:val="0"/>
          <w:w w:val="100"/>
          <w:position w:val="0"/>
          <w:shd w:val="clear" w:color="auto" w:fill="auto"/>
          <w:lang w:val="ru-RU" w:eastAsia="ru-RU" w:bidi="ru-RU"/>
        </w:rPr>
        <w:t>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пунктом 1 Постановления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 1289) и, при этом, соответствуют совокупности условий, указанных в подпунктах «а» и «б» данного подпункта;</w:t>
      </w:r>
    </w:p>
    <w:p>
      <w:pPr>
        <w:pStyle w:val="Style14"/>
        <w:keepNext w:val="0"/>
        <w:keepLines w:val="0"/>
        <w:widowControl w:val="0"/>
        <w:numPr>
          <w:ilvl w:val="0"/>
          <w:numId w:val="7"/>
        </w:numPr>
        <w:shd w:val="clear" w:color="auto" w:fill="auto"/>
        <w:tabs>
          <w:tab w:pos="990" w:val="left"/>
        </w:tabs>
        <w:bidi w:val="0"/>
        <w:spacing w:before="0" w:after="0"/>
        <w:ind w:left="0" w:right="0" w:firstLine="700"/>
        <w:jc w:val="both"/>
      </w:pPr>
      <w:r>
        <w:rPr>
          <w:color w:val="000000"/>
          <w:spacing w:val="0"/>
          <w:w w:val="100"/>
          <w:position w:val="0"/>
          <w:shd w:val="clear" w:color="auto" w:fill="auto"/>
          <w:lang w:val="ru-RU" w:eastAsia="ru-RU" w:bidi="ru-RU"/>
        </w:rPr>
        <w:t>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пунктом 1 Постановления № 1289, но не соответствует условию, указанному в подпункте «а» указанного подпункта.</w:t>
      </w:r>
    </w:p>
    <w:p>
      <w:pPr>
        <w:pStyle w:val="Style14"/>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протоколу подачи ценовых предложений электронного аукциона от 22.12.2023 № 0136500001123008004 минимальное предложение по цене контракта сделано участником аукциона с идентификационным номером заявки 115603195 в размере 3 918 240,00 руб. (снижение цены составило 28 %).</w:t>
      </w:r>
    </w:p>
    <w:p>
      <w:pPr>
        <w:pStyle w:val="Style14"/>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протоколом подведения итогов электронного аукциона от 25.12.2023 № 0136500001123008004 комиссия по осуществлению закупок приняла решение о соответствии четырех поданных заявок требованиям, установленным извещением об осуществлении закупки. Заявка с идентификационным номером 115643344 признана несоответствующей требованиям извещения по пункту 4 части 12 статьи 48 Закона о контрактной системе (несоответствие требованиям нормативных правовых актов, принятых в соответствии со статьей 14 Закона о контрактной системе). Заявка участника содержит предложение о поставке лекарственных препаратов с МНН «Имипенем + Циластатин», страной происхождения которых является Индия. Другими допущенными участниками аукциона предложены к поставке лекарственные препараты, страной происхождения которых являются государства - члены Евразийского экономического союза, а также представлены сертификаты происхождения товара формы СТ-1, указывающие на разных производителей предлагаемых лекарственных препаратов.</w:t>
      </w:r>
    </w:p>
    <w:p>
      <w:pPr>
        <w:pStyle w:val="Style14"/>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Заявителем в составе заявки были предоставлены следующие документы:</w:t>
      </w:r>
    </w:p>
    <w:p>
      <w:pPr>
        <w:pStyle w:val="Style14"/>
        <w:keepNext w:val="0"/>
        <w:keepLines w:val="0"/>
        <w:widowControl w:val="0"/>
        <w:numPr>
          <w:ilvl w:val="0"/>
          <w:numId w:val="9"/>
        </w:numPr>
        <w:shd w:val="clear" w:color="auto" w:fill="auto"/>
        <w:tabs>
          <w:tab w:pos="894" w:val="left"/>
        </w:tabs>
        <w:bidi w:val="0"/>
        <w:spacing w:before="0" w:after="0"/>
        <w:ind w:left="0" w:right="0" w:firstLine="700"/>
        <w:jc w:val="both"/>
      </w:pPr>
      <w:r>
        <w:rPr>
          <w:color w:val="000000"/>
          <w:spacing w:val="0"/>
          <w:w w:val="100"/>
          <w:position w:val="0"/>
          <w:shd w:val="clear" w:color="auto" w:fill="auto"/>
          <w:lang w:val="ru-RU" w:eastAsia="ru-RU" w:bidi="ru-RU"/>
        </w:rPr>
        <w:t>регистрационное удостоверение лекарственного препарата для медицинского применения № ЛП-005254 от 20.12.2028;</w:t>
      </w:r>
    </w:p>
    <w:p>
      <w:pPr>
        <w:pStyle w:val="Style14"/>
        <w:keepNext w:val="0"/>
        <w:keepLines w:val="0"/>
        <w:widowControl w:val="0"/>
        <w:numPr>
          <w:ilvl w:val="0"/>
          <w:numId w:val="9"/>
        </w:numPr>
        <w:shd w:val="clear" w:color="auto" w:fill="auto"/>
        <w:tabs>
          <w:tab w:pos="1535" w:val="left"/>
        </w:tabs>
        <w:bidi w:val="0"/>
        <w:spacing w:before="0" w:after="0"/>
        <w:ind w:left="0" w:right="0" w:firstLine="700"/>
        <w:jc w:val="both"/>
      </w:pPr>
      <w:r>
        <w:rPr>
          <w:color w:val="000000"/>
          <w:spacing w:val="0"/>
          <w:w w:val="100"/>
          <w:position w:val="0"/>
          <w:shd w:val="clear" w:color="auto" w:fill="auto"/>
          <w:lang w:val="ru-RU" w:eastAsia="ru-RU" w:bidi="ru-RU"/>
        </w:rPr>
        <w:t>сертификат о происхождении товара по форме СТ-1;</w:t>
      </w:r>
    </w:p>
    <w:p>
      <w:pPr>
        <w:pStyle w:val="Style14"/>
        <w:keepNext w:val="0"/>
        <w:keepLines w:val="0"/>
        <w:widowControl w:val="0"/>
        <w:numPr>
          <w:ilvl w:val="0"/>
          <w:numId w:val="9"/>
        </w:numPr>
        <w:shd w:val="clear" w:color="auto" w:fill="auto"/>
        <w:tabs>
          <w:tab w:pos="894" w:val="left"/>
        </w:tabs>
        <w:bidi w:val="0"/>
        <w:spacing w:before="0" w:after="0"/>
        <w:ind w:left="0" w:right="0" w:firstLine="700"/>
        <w:jc w:val="both"/>
      </w:pPr>
      <w:r>
        <w:rPr>
          <w:color w:val="000000"/>
          <w:spacing w:val="0"/>
          <w:w w:val="100"/>
          <w:position w:val="0"/>
          <w:shd w:val="clear" w:color="auto" w:fill="auto"/>
          <w:lang w:val="ru-RU" w:eastAsia="ru-RU" w:bidi="ru-RU"/>
        </w:rPr>
        <w:t>информационное письмо с указанием сведений о документе, содержащем сведения о стадиях технологического процесса производства лекарственного препарата, осуществляемых на территории Евразийского экономического союза (СП: СП-0002151/04/2023 от 24.04.2023);</w:t>
      </w:r>
    </w:p>
    <w:p>
      <w:pPr>
        <w:pStyle w:val="Style14"/>
        <w:keepNext w:val="0"/>
        <w:keepLines w:val="0"/>
        <w:widowControl w:val="0"/>
        <w:numPr>
          <w:ilvl w:val="0"/>
          <w:numId w:val="9"/>
        </w:numPr>
        <w:shd w:val="clear" w:color="auto" w:fill="auto"/>
        <w:tabs>
          <w:tab w:pos="894" w:val="left"/>
        </w:tabs>
        <w:bidi w:val="0"/>
        <w:spacing w:before="0" w:after="0"/>
        <w:ind w:left="0" w:right="0" w:firstLine="700"/>
        <w:jc w:val="both"/>
      </w:pPr>
      <w:r>
        <w:rPr>
          <w:color w:val="000000"/>
          <w:spacing w:val="0"/>
          <w:w w:val="100"/>
          <w:position w:val="0"/>
          <w:shd w:val="clear" w:color="auto" w:fill="auto"/>
          <w:lang w:val="ru-RU" w:eastAsia="ru-RU" w:bidi="ru-RU"/>
        </w:rPr>
        <w:t>сертификат соответствия требованиям Правил надлежащей производственной практики Евразийского экономического союза, выданный АО «Биохимик» (ОМР: СМР/ЕАЕШЕШ/00377- 2022).</w:t>
      </w:r>
    </w:p>
    <w:p>
      <w:pPr>
        <w:pStyle w:val="Style14"/>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Размещенная в государственном реестре лекарственных средств по лекарственному препарату Имипенем+Циластатин информация содержит сведения о двух производителях фармацевтической субстанции:</w:t>
      </w:r>
    </w:p>
    <w:p>
      <w:pPr>
        <w:pStyle w:val="Style14"/>
        <w:keepNext w:val="0"/>
        <w:keepLines w:val="0"/>
        <w:widowControl w:val="0"/>
        <w:numPr>
          <w:ilvl w:val="0"/>
          <w:numId w:val="9"/>
        </w:numPr>
        <w:shd w:val="clear" w:color="auto" w:fill="auto"/>
        <w:tabs>
          <w:tab w:pos="889" w:val="left"/>
        </w:tabs>
        <w:bidi w:val="0"/>
        <w:spacing w:before="0" w:after="0"/>
        <w:ind w:left="0" w:right="0" w:firstLine="700"/>
        <w:jc w:val="both"/>
      </w:pPr>
      <w:r>
        <w:rPr>
          <w:color w:val="000000"/>
          <w:spacing w:val="0"/>
          <w:w w:val="100"/>
          <w:position w:val="0"/>
          <w:shd w:val="clear" w:color="auto" w:fill="auto"/>
          <w:lang w:val="ru-RU" w:eastAsia="ru-RU" w:bidi="ru-RU"/>
        </w:rPr>
        <w:t>Акционерное общество «Биохимик» (АО «Биохимик»), адрес: 430030, Республика Мордовия, г. Саранск, ул. Басенко, д. 15А;</w:t>
      </w:r>
    </w:p>
    <w:p>
      <w:pPr>
        <w:pStyle w:val="Style14"/>
        <w:keepNext w:val="0"/>
        <w:keepLines w:val="0"/>
        <w:widowControl w:val="0"/>
        <w:numPr>
          <w:ilvl w:val="0"/>
          <w:numId w:val="9"/>
        </w:numPr>
        <w:shd w:val="clear" w:color="auto" w:fill="auto"/>
        <w:tabs>
          <w:tab w:pos="879" w:val="left"/>
        </w:tabs>
        <w:bidi w:val="0"/>
        <w:spacing w:before="0" w:after="0"/>
        <w:ind w:left="0" w:right="0" w:firstLine="700"/>
        <w:jc w:val="both"/>
      </w:pPr>
      <w:r>
        <w:rPr>
          <w:color w:val="000000"/>
          <w:spacing w:val="0"/>
          <w:w w:val="100"/>
          <w:position w:val="0"/>
          <w:shd w:val="clear" w:color="auto" w:fill="auto"/>
          <w:lang w:val="ru-RU" w:eastAsia="ru-RU" w:bidi="ru-RU"/>
        </w:rPr>
        <w:t>Шэньжень Хайбинь Фармасьютикал Ко.Лтд, адрес: № 2003 ЗЬауап Коаб, УапНап О18йтс1, БЬепхйеп Сйу, (Зиапс1оп§ Ргоутсе.</w:t>
      </w:r>
    </w:p>
    <w:p>
      <w:pPr>
        <w:pStyle w:val="Style14"/>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Как указал представитель Уполномоченного органа при проверке комиссией по осуществлению закупок сведений в государственном реестре лекарственных средств</w:t>
        <w:br w:type="page"/>
      </w:r>
      <w:r>
        <w:rPr>
          <w:color w:val="000000"/>
          <w:spacing w:val="0"/>
          <w:w w:val="100"/>
          <w:position w:val="0"/>
          <w:shd w:val="clear" w:color="auto" w:fill="auto"/>
          <w:lang w:val="ru-RU" w:eastAsia="ru-RU" w:bidi="ru-RU"/>
        </w:rPr>
        <w:t>фармацевтической субстанции по МНН Имипенем+Циластатин отсутствует указание на фармацевтическую субстанцию, производимую в Российской Федерации. Заявитель не указал из какой именно фармацевтической субстанции будет произведен лекарственный препарат, предлагаемый к поставке, а также не представил документы, подтверждающие, что стадии производства молекулы действующего вещества фармацевтической субстанции осуществляются в Российской Федерации.</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Кроме того, согласно положению о порядке оформления, удостоверения и выдачи сертификатов происхождения товаров, а также других документов, связанных с осуществлением внешнеэкономической деятельности, утвержденному постановлением Правления ТПП РФ от 23.12.2015 № 172-14, сертификат о происхождении товара формы СТ-1 заполняется в указанном порядке. При этом, графа Н 9 "Критерии происхождения" содержит следующие критерии:</w:t>
      </w:r>
    </w:p>
    <w:p>
      <w:pPr>
        <w:pStyle w:val="Style14"/>
        <w:keepNext w:val="0"/>
        <w:keepLines w:val="0"/>
        <w:widowControl w:val="0"/>
        <w:numPr>
          <w:ilvl w:val="0"/>
          <w:numId w:val="9"/>
        </w:numPr>
        <w:shd w:val="clear" w:color="auto" w:fill="auto"/>
        <w:tabs>
          <w:tab w:pos="1555" w:val="left"/>
        </w:tabs>
        <w:bidi w:val="0"/>
        <w:spacing w:before="0" w:after="0"/>
        <w:ind w:left="0" w:right="0" w:firstLine="720"/>
        <w:jc w:val="both"/>
      </w:pPr>
      <w:r>
        <w:rPr>
          <w:color w:val="000000"/>
          <w:spacing w:val="0"/>
          <w:w w:val="100"/>
          <w:position w:val="0"/>
          <w:shd w:val="clear" w:color="auto" w:fill="auto"/>
          <w:lang w:val="ru-RU" w:eastAsia="ru-RU" w:bidi="ru-RU"/>
        </w:rPr>
        <w:t>«П» - товар, полностью произведенный в Российской Федерации;</w:t>
      </w:r>
    </w:p>
    <w:p>
      <w:pPr>
        <w:pStyle w:val="Style14"/>
        <w:keepNext w:val="0"/>
        <w:keepLines w:val="0"/>
        <w:widowControl w:val="0"/>
        <w:numPr>
          <w:ilvl w:val="0"/>
          <w:numId w:val="9"/>
        </w:numPr>
        <w:shd w:val="clear" w:color="auto" w:fill="auto"/>
        <w:tabs>
          <w:tab w:pos="889" w:val="left"/>
        </w:tabs>
        <w:bidi w:val="0"/>
        <w:spacing w:before="0" w:after="0"/>
        <w:ind w:left="0" w:right="0" w:firstLine="720"/>
        <w:jc w:val="both"/>
      </w:pPr>
      <w:r>
        <w:rPr>
          <w:color w:val="000000"/>
          <w:spacing w:val="0"/>
          <w:w w:val="100"/>
          <w:position w:val="0"/>
          <w:shd w:val="clear" w:color="auto" w:fill="auto"/>
          <w:lang w:val="ru-RU" w:eastAsia="ru-RU" w:bidi="ru-RU"/>
        </w:rPr>
        <w:t>«Д1701» - товар, подвергнутый достаточной обработке/переработке на территории Российской Федерации, с указанием первых четырех цифр кода товарной позиции по ТН ВЭД конечной продукции, например - 1701;</w:t>
      </w:r>
    </w:p>
    <w:p>
      <w:pPr>
        <w:pStyle w:val="Style14"/>
        <w:keepNext w:val="0"/>
        <w:keepLines w:val="0"/>
        <w:widowControl w:val="0"/>
        <w:numPr>
          <w:ilvl w:val="0"/>
          <w:numId w:val="9"/>
        </w:numPr>
        <w:shd w:val="clear" w:color="auto" w:fill="auto"/>
        <w:tabs>
          <w:tab w:pos="1555" w:val="left"/>
        </w:tabs>
        <w:bidi w:val="0"/>
        <w:spacing w:before="0" w:after="0"/>
        <w:ind w:left="0" w:right="0" w:firstLine="720"/>
        <w:jc w:val="both"/>
      </w:pPr>
      <w:r>
        <w:rPr>
          <w:color w:val="000000"/>
          <w:spacing w:val="0"/>
          <w:w w:val="100"/>
          <w:position w:val="0"/>
          <w:shd w:val="clear" w:color="auto" w:fill="auto"/>
          <w:lang w:val="ru-RU" w:eastAsia="ru-RU" w:bidi="ru-RU"/>
        </w:rPr>
        <w:t>«К» - кумуляция СНГ.</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составе заявке ООО Заявителя содержится сертификат СТ-1 № 1056000031, в графе № 9 «Критерии происхождения» которой указан критерий «Д», то есть предложенный лекарственный препарат - товар, подвергнутый достаточной обработке/переработке на территории Российской Федерации.</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Вместе с тем, Комиссия отмечает, что заявка подателя жалобы не содержала сведений СП.</w:t>
      </w:r>
    </w:p>
    <w:p>
      <w:pPr>
        <w:pStyle w:val="Style1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Кроме того, доказательств того, что фармсубстанция предлагаемого к поставке лекарственного средства производится на территории государства - члена Евразийского экономического союза и (или) Донецкой Народной Республике, Луганской Народной Республике подателем жалобы не представлено, в частности, подателем жалобы не был представлен документ № СП-0002151/04/2023 от 24.04.2023, который, по мнению подателя жалобы, подтверждает, что все стадии производства лекарственного препарата осуществляются на территориях государств - членов Евразийского экономического союза.</w:t>
      </w:r>
    </w:p>
    <w:p>
      <w:pPr>
        <w:pStyle w:val="Style14"/>
        <w:keepNext w:val="0"/>
        <w:keepLines w:val="0"/>
        <w:widowControl w:val="0"/>
        <w:shd w:val="clear" w:color="auto" w:fill="auto"/>
        <w:bidi w:val="0"/>
        <w:spacing w:before="0" w:after="260"/>
        <w:ind w:left="0" w:right="0" w:firstLine="720"/>
        <w:jc w:val="both"/>
      </w:pPr>
      <w:r>
        <w:rPr>
          <w:color w:val="000000"/>
          <w:spacing w:val="0"/>
          <w:w w:val="100"/>
          <w:position w:val="0"/>
          <w:shd w:val="clear" w:color="auto" w:fill="auto"/>
          <w:lang w:val="ru-RU" w:eastAsia="ru-RU" w:bidi="ru-RU"/>
        </w:rPr>
        <w:t>Таким образом, Комиссия приходит к выводу о том, что у аукционной комиссии отсутствовали основания для применения подпункта 1.4 пункта 1 Приказа № 126н, ввиду чего довод подателя жалобы не находит своего подтверждения и признается Комиссией необоснованным.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4"/>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РЕШИЛА:</w:t>
      </w:r>
    </w:p>
    <w:p>
      <w:pPr>
        <w:pStyle w:val="Style14"/>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Признать жалобу ООО «А - Фарм» необоснованной.</w:t>
      </w:r>
    </w:p>
    <w:p>
      <w:pPr>
        <w:pStyle w:val="Style14"/>
        <w:keepNext w:val="0"/>
        <w:keepLines w:val="0"/>
        <w:widowControl w:val="0"/>
        <w:shd w:val="clear" w:color="auto" w:fill="auto"/>
        <w:tabs>
          <w:tab w:pos="6182" w:val="left"/>
        </w:tabs>
        <w:bidi w:val="0"/>
        <w:spacing w:before="0" w:after="0" w:line="257" w:lineRule="auto"/>
        <w:ind w:left="0" w:right="0" w:firstLine="720"/>
        <w:jc w:val="both"/>
      </w:pPr>
      <w:r>
        <w:rPr>
          <w:color w:val="000000"/>
          <w:spacing w:val="0"/>
          <w:w w:val="100"/>
          <w:position w:val="0"/>
          <w:shd w:val="clear" w:color="auto" w:fill="auto"/>
          <w:lang w:val="ru-RU" w:eastAsia="ru-RU" w:bidi="ru-RU"/>
        </w:rPr>
        <w:t>Настоящее решение в течение трех месяцев со дня его изготовления может быть обжаловано в Арбитражный суд Тверской области, находящийся по адресу: 170100 г. Тверь, пл. Святого Благоверного Князя Михаила Тверского, д. 5.</w:t>
        <w:tab/>
        <w:t>- /' '</w:t>
      </w:r>
    </w:p>
    <w:p>
      <w:pPr>
        <w:pStyle w:val="Style21"/>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 / ' //</w:t>
      </w:r>
    </w:p>
    <w:p>
      <w:pPr>
        <w:pStyle w:val="Style14"/>
        <w:keepNext w:val="0"/>
        <w:keepLines w:val="0"/>
        <w:widowControl w:val="0"/>
        <w:shd w:val="clear" w:color="auto" w:fill="auto"/>
        <w:tabs>
          <w:tab w:pos="5602" w:val="left"/>
          <w:tab w:pos="7094" w:val="left"/>
        </w:tabs>
        <w:bidi w:val="0"/>
        <w:spacing w:before="0" w:after="260" w:line="257" w:lineRule="auto"/>
        <w:ind w:left="0" w:right="0" w:firstLine="0"/>
        <w:jc w:val="left"/>
      </w:pPr>
      <w:r>
        <w:drawing>
          <wp:anchor distT="0" distB="0" distL="114300" distR="1074420" simplePos="0" relativeHeight="125829378" behindDoc="0" locked="0" layoutInCell="1" allowOverlap="1">
            <wp:simplePos x="0" y="0"/>
            <wp:positionH relativeFrom="page">
              <wp:posOffset>4366895</wp:posOffset>
            </wp:positionH>
            <wp:positionV relativeFrom="paragraph">
              <wp:posOffset>215900</wp:posOffset>
            </wp:positionV>
            <wp:extent cx="1109345" cy="993775"/>
            <wp:wrapSquare wrapText="left"/>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1109345" cy="9937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5391150</wp:posOffset>
                </wp:positionH>
                <wp:positionV relativeFrom="paragraph">
                  <wp:posOffset>349885</wp:posOffset>
                </wp:positionV>
                <wp:extent cx="1042670" cy="176530"/>
                <wp:wrapNone/>
                <wp:docPr id="10" name="Shape 10"/>
                <a:graphic xmlns:a="http://schemas.openxmlformats.org/drawingml/2006/main">
                  <a:graphicData uri="http://schemas.microsoft.com/office/word/2010/wordprocessingShape">
                    <wps:wsp>
                      <wps:cNvSpPr txBox="1"/>
                      <wps:spPr>
                        <a:xfrm>
                          <a:ext cx="1042670" cy="1765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П.Д. Винницкая</w:t>
                            </w:r>
                          </w:p>
                        </w:txbxContent>
                      </wps:txbx>
                      <wps:bodyPr lIns="0" tIns="0" rIns="0" bIns="0">
                        <a:noAutoFit/>
                      </wps:bodyPr>
                    </wps:wsp>
                  </a:graphicData>
                </a:graphic>
              </wp:anchor>
            </w:drawing>
          </mc:Choice>
          <mc:Fallback>
            <w:pict>
              <v:shape id="_x0000_s1036" type="#_x0000_t202" style="position:absolute;margin-left:424.5pt;margin-top:27.550000000000001pt;width:82.100000000000009pt;height:13.9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П.Д. Винницкая</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5594985</wp:posOffset>
                </wp:positionH>
                <wp:positionV relativeFrom="paragraph">
                  <wp:posOffset>688340</wp:posOffset>
                </wp:positionV>
                <wp:extent cx="768350" cy="173990"/>
                <wp:wrapNone/>
                <wp:docPr id="12" name="Shape 12"/>
                <a:graphic xmlns:a="http://schemas.openxmlformats.org/drawingml/2006/main">
                  <a:graphicData uri="http://schemas.microsoft.com/office/word/2010/wordprocessingShape">
                    <wps:wsp>
                      <wps:cNvSpPr txBox="1"/>
                      <wps:spPr>
                        <a:xfrm>
                          <a:ext cx="768350" cy="1739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 Быков</w:t>
                            </w:r>
                          </w:p>
                        </w:txbxContent>
                      </wps:txbx>
                      <wps:bodyPr lIns="0" tIns="0" rIns="0" bIns="0">
                        <a:noAutoFit/>
                      </wps:bodyPr>
                    </wps:wsp>
                  </a:graphicData>
                </a:graphic>
              </wp:anchor>
            </w:drawing>
          </mc:Choice>
          <mc:Fallback>
            <w:pict>
              <v:shape id="_x0000_s1038" type="#_x0000_t202" style="position:absolute;margin-left:440.55000000000001pt;margin-top:54.200000000000003pt;width:60.5pt;height:13.700000000000001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 Быков</w:t>
                      </w:r>
                    </w:p>
                  </w:txbxContent>
                </v:textbox>
                <w10:wrap anchorx="page"/>
              </v:shape>
            </w:pict>
          </mc:Fallback>
        </mc:AlternateContent>
      </w:r>
      <w:r>
        <w:rPr>
          <w:color w:val="000000"/>
          <w:spacing w:val="0"/>
          <w:w w:val="100"/>
          <w:position w:val="0"/>
          <w:shd w:val="clear" w:color="auto" w:fill="auto"/>
          <w:lang w:val="ru-RU" w:eastAsia="ru-RU" w:bidi="ru-RU"/>
        </w:rPr>
        <w:t>Председатель Комиссии:</w:t>
        <w:tab/>
        <w:t>(</w:t>
        <w:tab/>
        <w:t>Е.В. Ключникова</w:t>
      </w:r>
    </w:p>
    <w:p>
      <w:pPr>
        <w:pStyle w:val="Style14"/>
        <w:keepNext w:val="0"/>
        <w:keepLines w:val="0"/>
        <w:widowControl w:val="0"/>
        <w:shd w:val="clear" w:color="auto" w:fill="auto"/>
        <w:bidi w:val="0"/>
        <w:spacing w:before="0" w:after="680" w:line="257" w:lineRule="auto"/>
        <w:ind w:left="0" w:right="0" w:firstLine="0"/>
        <w:jc w:val="left"/>
      </w:pPr>
      <w:r>
        <w:rPr>
          <w:color w:val="000000"/>
          <w:spacing w:val="0"/>
          <w:w w:val="100"/>
          <w:position w:val="0"/>
          <w:shd w:val="clear" w:color="auto" w:fill="auto"/>
          <w:lang w:val="ru-RU" w:eastAsia="ru-RU" w:bidi="ru-RU"/>
        </w:rPr>
        <w:t>Члены Комиссии:</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Исп.Винницкая П.Д.</w:t>
      </w:r>
    </w:p>
    <w:p>
      <w:pPr>
        <w:pStyle w:val="Style5"/>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тел.8(4822) 34-24-31, вн. 069-113</w:t>
      </w:r>
    </w:p>
    <w:sectPr>
      <w:footnotePr>
        <w:pos w:val="pageBottom"/>
        <w:numFmt w:val="decimal"/>
        <w:numRestart w:val="continuous"/>
      </w:footnotePr>
      <w:type w:val="continuous"/>
      <w:pgSz w:w="11900" w:h="16840"/>
      <w:pgMar w:top="1157" w:right="718" w:bottom="1148" w:left="126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823595</wp:posOffset>
              </wp:positionH>
              <wp:positionV relativeFrom="page">
                <wp:posOffset>9756775</wp:posOffset>
              </wp:positionV>
              <wp:extent cx="554990" cy="103505"/>
              <wp:wrapNone/>
              <wp:docPr id="4" name="Shape 4"/>
              <a:graphic xmlns:a="http://schemas.openxmlformats.org/drawingml/2006/main">
                <a:graphicData uri="http://schemas.microsoft.com/office/word/2010/wordprocessingShape">
                  <wps:wsp>
                    <wps:cNvSpPr txBox="1"/>
                    <wps:spPr>
                      <a:xfrm>
                        <a:ext cx="55499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2024-292</w:t>
                          </w:r>
                        </w:p>
                      </w:txbxContent>
                    </wps:txbx>
                    <wps:bodyPr wrap="none" lIns="0" tIns="0" rIns="0" bIns="0">
                      <a:spAutoFit/>
                    </wps:bodyPr>
                  </wps:wsp>
                </a:graphicData>
              </a:graphic>
            </wp:anchor>
          </w:drawing>
        </mc:Choice>
        <mc:Fallback>
          <w:pict>
            <v:shape id="_x0000_s1030" type="#_x0000_t202" style="position:absolute;margin-left:64.849999999999994pt;margin-top:768.25pt;width:43.700000000000003pt;height:8.1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2024-292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988695</wp:posOffset>
              </wp:positionH>
              <wp:positionV relativeFrom="page">
                <wp:posOffset>9676130</wp:posOffset>
              </wp:positionV>
              <wp:extent cx="554990" cy="106680"/>
              <wp:wrapNone/>
              <wp:docPr id="6" name="Shape 6"/>
              <a:graphic xmlns:a="http://schemas.openxmlformats.org/drawingml/2006/main">
                <a:graphicData uri="http://schemas.microsoft.com/office/word/2010/wordprocessingShape">
                  <wps:wsp>
                    <wps:cNvSpPr txBox="1"/>
                    <wps:spPr>
                      <a:xfrm>
                        <a:ext cx="55499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2024-292</w:t>
                          </w:r>
                        </w:p>
                      </w:txbxContent>
                    </wps:txbx>
                    <wps:bodyPr wrap="none" lIns="0" tIns="0" rIns="0" bIns="0">
                      <a:spAutoFit/>
                    </wps:bodyPr>
                  </wps:wsp>
                </a:graphicData>
              </a:graphic>
            </wp:anchor>
          </w:drawing>
        </mc:Choice>
        <mc:Fallback>
          <w:pict>
            <v:shape id="_x0000_s1032" type="#_x0000_t202" style="position:absolute;margin-left:77.850000000000009pt;margin-top:761.89999999999998pt;width:43.700000000000003pt;height:8.4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2024-292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3923030</wp:posOffset>
              </wp:positionH>
              <wp:positionV relativeFrom="page">
                <wp:posOffset>838835</wp:posOffset>
              </wp:positionV>
              <wp:extent cx="64135" cy="100330"/>
              <wp:wrapNone/>
              <wp:docPr id="2" name="Shape 2"/>
              <a:graphic xmlns:a="http://schemas.openxmlformats.org/drawingml/2006/main">
                <a:graphicData uri="http://schemas.microsoft.com/office/word/2010/wordprocessingShape">
                  <wps:wsp>
                    <wps:cNvSpPr txBox="1"/>
                    <wps:spPr>
                      <a:xfrm>
                        <a:ext cx="6413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8.90000000000003pt;margin-top:66.049999999999997pt;width:5.0499999999999998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sz w:val="15"/>
      <w:szCs w:val="15"/>
      <w:u w:val="none"/>
    </w:rPr>
  </w:style>
  <w:style w:type="character" w:customStyle="1" w:styleId="CharStyle9">
    <w:name w:val="Основной текст (3)_"/>
    <w:basedOn w:val="DefaultParagraphFont"/>
    <w:link w:val="Style8"/>
    <w:rPr>
      <w:rFonts w:ascii="Times New Roman" w:eastAsia="Times New Roman" w:hAnsi="Times New Roman" w:cs="Times New Roman"/>
      <w:b w:val="0"/>
      <w:bCs w:val="0"/>
      <w:i w:val="0"/>
      <w:iCs w:val="0"/>
      <w:smallCaps w:val="0"/>
      <w:strike w:val="0"/>
      <w:sz w:val="19"/>
      <w:szCs w:val="19"/>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color w:val="161275"/>
      <w:sz w:val="32"/>
      <w:szCs w:val="32"/>
      <w:u w:val="singl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2"/>
      <w:szCs w:val="22"/>
      <w:u w:val="none"/>
    </w:rPr>
  </w:style>
  <w:style w:type="character" w:customStyle="1" w:styleId="CharStyle17">
    <w:name w:val="Подпись к картинке_"/>
    <w:basedOn w:val="DefaultParagraphFont"/>
    <w:link w:val="Style16"/>
    <w:rPr>
      <w:rFonts w:ascii="Times New Roman" w:eastAsia="Times New Roman" w:hAnsi="Times New Roman" w:cs="Times New Roman"/>
      <w:b w:val="0"/>
      <w:bCs w:val="0"/>
      <w:i w:val="0"/>
      <w:iCs w:val="0"/>
      <w:smallCaps w:val="0"/>
      <w:strike w:val="0"/>
      <w:sz w:val="22"/>
      <w:szCs w:val="22"/>
      <w:u w:val="none"/>
    </w:rPr>
  </w:style>
  <w:style w:type="character" w:customStyle="1" w:styleId="CharStyle20">
    <w:name w:val="Заголовок №1_"/>
    <w:basedOn w:val="DefaultParagraphFont"/>
    <w:link w:val="Style19"/>
    <w:rPr>
      <w:rFonts w:ascii="Arial" w:eastAsia="Arial" w:hAnsi="Arial" w:cs="Arial"/>
      <w:b w:val="0"/>
      <w:bCs w:val="0"/>
      <w:i w:val="0"/>
      <w:iCs w:val="0"/>
      <w:smallCaps w:val="0"/>
      <w:strike w:val="0"/>
      <w:sz w:val="30"/>
      <w:szCs w:val="30"/>
      <w:u w:val="none"/>
    </w:rPr>
  </w:style>
  <w:style w:type="character" w:customStyle="1" w:styleId="CharStyle22">
    <w:name w:val="Основной текст (4)_"/>
    <w:basedOn w:val="DefaultParagraphFont"/>
    <w:link w:val="Style21"/>
    <w:rPr>
      <w:rFonts w:ascii="Arial" w:eastAsia="Arial" w:hAnsi="Arial" w:cs="Arial"/>
      <w:b w:val="0"/>
      <w:bCs w:val="0"/>
      <w:i/>
      <w:iCs/>
      <w:smallCaps w:val="0"/>
      <w:strike w:val="0"/>
      <w:color w:val="161275"/>
      <w:sz w:val="19"/>
      <w:szCs w:val="19"/>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100" w:line="274" w:lineRule="auto"/>
      <w:jc w:val="center"/>
    </w:pPr>
    <w:rPr>
      <w:rFonts w:ascii="Times New Roman" w:eastAsia="Times New Roman" w:hAnsi="Times New Roman" w:cs="Times New Roman"/>
      <w:b w:val="0"/>
      <w:bCs w:val="0"/>
      <w:i w:val="0"/>
      <w:iCs w:val="0"/>
      <w:smallCaps w:val="0"/>
      <w:strike w:val="0"/>
      <w:sz w:val="15"/>
      <w:szCs w:val="15"/>
      <w:u w:val="none"/>
    </w:rPr>
  </w:style>
  <w:style w:type="paragraph" w:customStyle="1" w:styleId="Style8">
    <w:name w:val="Основной текст (3)"/>
    <w:basedOn w:val="Normal"/>
    <w:link w:val="CharStyle9"/>
    <w:pPr>
      <w:widowControl w:val="0"/>
      <w:shd w:val="clear" w:color="auto" w:fill="auto"/>
      <w:spacing w:after="160"/>
      <w:jc w:val="center"/>
    </w:pPr>
    <w:rPr>
      <w:rFonts w:ascii="Times New Roman" w:eastAsia="Times New Roman" w:hAnsi="Times New Roman" w:cs="Times New Roman"/>
      <w:b w:val="0"/>
      <w:bCs w:val="0"/>
      <w:i w:val="0"/>
      <w:iCs w:val="0"/>
      <w:smallCaps w:val="0"/>
      <w:strike w:val="0"/>
      <w:sz w:val="19"/>
      <w:szCs w:val="19"/>
      <w:u w:val="none"/>
    </w:rPr>
  </w:style>
  <w:style w:type="paragraph" w:customStyle="1" w:styleId="Style10">
    <w:name w:val="Заголовок №2"/>
    <w:basedOn w:val="Normal"/>
    <w:link w:val="CharStyle11"/>
    <w:pPr>
      <w:widowControl w:val="0"/>
      <w:shd w:val="clear" w:color="auto" w:fill="auto"/>
      <w:spacing w:after="160"/>
      <w:outlineLvl w:val="1"/>
    </w:pPr>
    <w:rPr>
      <w:rFonts w:ascii="Times New Roman" w:eastAsia="Times New Roman" w:hAnsi="Times New Roman" w:cs="Times New Roman"/>
      <w:b w:val="0"/>
      <w:bCs w:val="0"/>
      <w:i w:val="0"/>
      <w:iCs w:val="0"/>
      <w:smallCaps w:val="0"/>
      <w:strike w:val="0"/>
      <w:color w:val="161275"/>
      <w:sz w:val="32"/>
      <w:szCs w:val="32"/>
      <w:u w:val="single"/>
    </w:rPr>
  </w:style>
  <w:style w:type="paragraph" w:customStyle="1" w:styleId="Style14">
    <w:name w:val="Основной текст"/>
    <w:basedOn w:val="Normal"/>
    <w:link w:val="CharStyle15"/>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16">
    <w:name w:val="Подпись к картинке"/>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 w:type="paragraph" w:customStyle="1" w:styleId="Style19">
    <w:name w:val="Заголовок №1"/>
    <w:basedOn w:val="Normal"/>
    <w:link w:val="CharStyle20"/>
    <w:pPr>
      <w:widowControl w:val="0"/>
      <w:shd w:val="clear" w:color="auto" w:fill="auto"/>
      <w:spacing w:after="260"/>
      <w:outlineLvl w:val="0"/>
    </w:pPr>
    <w:rPr>
      <w:rFonts w:ascii="Arial" w:eastAsia="Arial" w:hAnsi="Arial" w:cs="Arial"/>
      <w:b w:val="0"/>
      <w:bCs w:val="0"/>
      <w:i w:val="0"/>
      <w:iCs w:val="0"/>
      <w:smallCaps w:val="0"/>
      <w:strike w:val="0"/>
      <w:sz w:val="30"/>
      <w:szCs w:val="30"/>
      <w:u w:val="none"/>
    </w:rPr>
  </w:style>
  <w:style w:type="paragraph" w:customStyle="1" w:styleId="Style21">
    <w:name w:val="Основной текст (4)"/>
    <w:basedOn w:val="Normal"/>
    <w:link w:val="CharStyle22"/>
    <w:pPr>
      <w:widowControl w:val="0"/>
      <w:shd w:val="clear" w:color="auto" w:fill="auto"/>
      <w:jc w:val="center"/>
    </w:pPr>
    <w:rPr>
      <w:rFonts w:ascii="Arial" w:eastAsia="Arial" w:hAnsi="Arial" w:cs="Arial"/>
      <w:b w:val="0"/>
      <w:bCs w:val="0"/>
      <w:i/>
      <w:iCs/>
      <w:smallCaps w:val="0"/>
      <w:strike w:val="0"/>
      <w:color w:val="161275"/>
      <w:sz w:val="19"/>
      <w:szCs w:val="19"/>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s>
</file>

<file path=docProps/core.xml><?xml version="1.0" encoding="utf-8"?>
<cp:coreProperties xmlns:cp="http://schemas.openxmlformats.org/package/2006/metadata/core-properties" xmlns:dc="http://purl.org/dc/elements/1.1/">
  <dc:title>Отсканированное изображение</dc:title>
  <dc:subject>Отсканированное изображение</dc:subject>
  <dc:creator>NAPS2</dc:creator>
  <cp:keywords/>
</cp:coreProperties>
</file>