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720" w:right="0" w:firstLine="0"/>
        <w:jc w:val="left"/>
        <w:rPr>
          <w:sz w:val="134"/>
          <w:szCs w:val="134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4066540</wp:posOffset>
                </wp:positionH>
                <wp:positionV relativeFrom="paragraph">
                  <wp:posOffset>876300</wp:posOffset>
                </wp:positionV>
                <wp:extent cx="3096895" cy="209677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96895" cy="2096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Департаменту конкурсов и аукционов Ивановской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МКУ городского округа Кинешма «Городское управление строительства»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ИП Летягину Ю.А.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АО «ЕЭТП»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20.19999999999999pt;margin-top:69.pt;width:243.84999999999999pt;height:165.0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Департаменту конкурсов и аукционов Ивановской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МКУ городского округа Кинешма «Городское управление строительства»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ИП Летягину Ю.А.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АО «ЕЭТП»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4360A3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720" w:right="0" w:firstLine="680"/>
        <w:jc w:val="both"/>
        <w:rPr>
          <w:sz w:val="17"/>
          <w:szCs w:val="17"/>
        </w:rPr>
      </w:pPr>
      <w:r>
        <w:rPr>
          <w:b/>
          <w:bCs/>
          <w:color w:val="4360A3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 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360A3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Ивановской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12"/>
          <w:szCs w:val="12"/>
        </w:rPr>
      </w:pPr>
      <w:r>
        <w:rPr>
          <w:color w:val="4360A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ул. Жарова, 10, Иваново, 153000</w:t>
        <w:br/>
        <w:t>тел. (4932) 32-85-73, факс (4932) 32-63-60</w:t>
        <w:br/>
        <w:t>е-тай: го37@Гая.цоу.ги</w:t>
      </w:r>
    </w:p>
    <w:p>
      <w:pPr>
        <w:pStyle w:val="Style16"/>
        <w:keepNext/>
        <w:keepLines/>
        <w:widowControl w:val="0"/>
        <w:shd w:val="clear" w:color="auto" w:fill="auto"/>
        <w:tabs>
          <w:tab w:pos="1994" w:val="left"/>
        </w:tabs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8.01.2024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ТМ/170/24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20" w:line="269" w:lineRule="auto"/>
        <w:ind w:left="0" w:right="0" w:firstLine="0"/>
        <w:jc w:val="both"/>
        <w:rPr>
          <w:sz w:val="18"/>
          <w:szCs w:val="18"/>
        </w:rPr>
      </w:pPr>
      <w:r>
        <w:rPr>
          <w:color w:val="4360A3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64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№037/06/33-18/2024 (07-15/2024-003)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44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оглашения решения: 15 января 2024 года</w:t>
        <w:tab/>
        <w:t>город Иваново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изготовления решения: 18 января 2024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Ивановской области по контролю в сфере закупок (далее - Комиссия Ивановского УФАС России)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 Михеевой Т.А. - заместителя руководителя управления;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 Клюшкина А.О. - ведущего специалиста-эксперта отдела контроля в сфере закупок; Долакидзе Г.П. - ведущего специалиста-эксперта отдела контроля в сфере закупок,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заседание проведено путем видеоконференцсвязи при участии ИП Летягина Юрия Анатольевича (далее - Заявитель), его представителя - Сошенко Максима Игоревича (доверенность от 13.12.2024), а также представителя МКУ ГУС (далее - Заказчик) - Фащевского Артема Сергеевича (доверенность от 12.01.2023),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Департамента конкурсов и аукционов Ивановской области (указанное лицо было уведомлено о рассмотрении жалобы),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ИП Летягина Юрия Анатольевича на действия МКУ ГУС при проведении открытого конкурса в электронной форме на строительство централизованной системы водоотведения в г.Кинешма. I этап (извещение 0133200001723003278), и в результате осуществления внеплановой проверки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соответствии с п. 1 ч. 15 ст.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widowControl w:val="0"/>
        <w:spacing w:line="1" w:lineRule="exact"/>
      </w:pPr>
      <w:r>
        <w:drawing>
          <wp:anchor distT="114300" distB="0" distL="0" distR="0" simplePos="0" relativeHeight="125829380" behindDoc="0" locked="0" layoutInCell="1" allowOverlap="1">
            <wp:simplePos x="0" y="0"/>
            <wp:positionH relativeFrom="page">
              <wp:posOffset>716280</wp:posOffset>
            </wp:positionH>
            <wp:positionV relativeFrom="paragraph">
              <wp:posOffset>114300</wp:posOffset>
            </wp:positionV>
            <wp:extent cx="1517650" cy="28638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17650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29.12.2023 в Управление Федеральной антимонопольной службы по Ивановской области поступила жалоба ИП Летягина Юрия Анатольевича на действия МКУ ГУС при проведении открытого конкурса в электронной форме на строительство централизованной системы водоотведения в г.Кинешма. I этап (извещение 0133200001723003278).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первом доводе жалобы Заявитель указал, что в составе извещения о закупке была размещена проектно-сметная документация на выполнение работ, в которой указано, что при исполнении контракта исполнитель обязан использовать продукцию конкретного производителя - ООО «Группа Полипластик». При этом, в нарушение требований Закона о контрактной системе Заказчик не установил в извещении о закупке возможность поставки эквивалента, а также параметры эквивалентности для указанного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второму доводу жалобы, в составе извещения о закупке не размещено положительное заключение для проектно-сметной документации, что не позволяет участникам закупки оценить объемы работ.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третьем доводе жалобы Заявитель указал, что в составе извещения о проведении закупке размещены не все разделы проектной документации. Так, Заказчик не разместил инженерно-геологические изыскания, инженерно</w:t>
        <w:softHyphen/>
        <w:t>геодезические изыскания, что не позволяет участникам закупки определить исходные реперные знаки, которые заказчик должен передать поставщику для геодезической разбивочной основы.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четвертому доводу жалобы, в составе извещения о закупке не размещены договоры сервитута, либо аренды земельных участков, на которых будет осуществляться выполнение работ.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ГУС в своих возражениях с доводами жалобы не согласилось и просило признать жалобу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представленные Заявителем, Заказчиком документы, заслушав представителей лиц, участвующих в рассмотрении жалобы, проведя внеплановую проверку в соответствии с ч. 15 ст. 99 Закона о контрактной системе, Комиссия Ивановского УФАС России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 на официальном сайте единой информационной системы в сфере закупок в информационно-телекоммуникационной сети Интернет (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\у\у\у./акир|&lt;1.доу. ги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 (далее - официальный сайт) размещено извещение №0133200001723003278 о проведении открытого конкурса в электронной форме на строительство централизованной системы водоотведения в г.Кинешма. I этап.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 проведении открытого конкурса в электронной форме, протоколами, составленными при определении поставщика (подрядчика, исполнителя), размещенными на официальном сайте: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- 493 601 290,65 руб.;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подачи заявок - 29.12.2023 07:00;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рассмотрения и оценки вторых частей заявок на участие в закупке - 10.01.2024;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- 11.01.2024;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рассмотрения и оценки вторых частей заявок на участие в открытом конкурсе в электронной форме от 10.01.2024 №ПРОШ по окончании срока подачи заявок на участие в открытом конкурсе в электронной форме было подано 4 заявки. Заявки участников с идентификационными номерами 1, 2, 4 были признаны соответствующими извещению об осуществлении закупки и Закону о контрактной системе. Заявка участника с идентификационным номером 3 была отклонена на основании п. 3 ч. 12 ст. 48 Закона о контрактной системе, в связи с несоответствием участника закупки требованиям, установленным в извещении об осуществлении закупки в соответствии с ч. 2 ст. 31 Закона о контрактной системе (представленный участником закупки контракт не соответствует требованиям позиции 8 раздела II Приложения к постановлению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6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от 11.01.2024 №ИЭОК1 победителем закупки был признан участник закупки с идентификационным номером 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Ивановского УФАС России считает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первый довод жалобы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обоснованным на основании следующего.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соответствие с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электронный документ с описанием объекта закупки в соответствии со статьей 33 настоящего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Ивановского УФАС России установлено, что в проектной документации, размещенной совместно с извещением о проведении открытого конкурса в электронной форме, содержится указание об использовании при осуществлении работ следующих товаров:</w:t>
      </w:r>
    </w:p>
    <w:tbl>
      <w:tblPr>
        <w:tblOverlap w:val="never"/>
        <w:jc w:val="right"/>
        <w:tblLayout w:type="fixed"/>
      </w:tblPr>
      <w:tblGrid>
        <w:gridCol w:w="3005"/>
        <w:gridCol w:w="1387"/>
        <w:gridCol w:w="811"/>
        <w:gridCol w:w="1013"/>
        <w:gridCol w:w="461"/>
        <w:gridCol w:w="461"/>
        <w:gridCol w:w="576"/>
        <w:gridCol w:w="926"/>
      </w:tblGrid>
      <w:tr>
        <w:trPr>
          <w:trHeight w:val="307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Труба полиэтиленовая напорная ПЭ 100 ЗОИ 17 - 63x3,8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ТОСТ 18599-2001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9" w:lineRule="auto"/>
              <w:ind w:left="22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ООО </w:t>
            </w: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(Группа Полипластик&gt;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м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5,0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9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Прокладка открнтим способом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Труба полиэтиленовая напорная ПЭ100 ЗОН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11 </w:t>
            </w: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- 250x22,7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ГОСТ </w:t>
            </w: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№599-2001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22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ООО (Группа Полипластик»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60,5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9" w:lineRule="auto"/>
              <w:ind w:left="380" w:right="0" w:hanging="38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прокладка методом </w:t>
            </w: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ГН6 ’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Труба полиэтиленовая напорная </w:t>
            </w: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П3100 </w:t>
            </w: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ЗОН 11 </w:t>
            </w: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- </w:t>
            </w: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400x36,3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ГОСТ 18599-2001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22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ООО (Группа Полипластик»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6,0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Прокладка открепим </w:t>
            </w: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способом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Труба полиэтиленовая напорная </w:t>
            </w: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ПЭ100 ЗОН </w:t>
            </w: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11 - </w:t>
            </w: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560x50.8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ТУ 2221.21-061-750Ш-2018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22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ООО </w:t>
            </w: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(Группа </w:t>
            </w: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Полиплостик»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2845.0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прокладка методом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' ГНБ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Труба полиэтиленовая напорная ПЭ100 ЗОН 11 - 710)64.5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ТУ 22.21.21-061-73011750-2018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22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ООО </w:t>
            </w: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(Группа Полипластик»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192.0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Труба полиэтиленовая напорная </w:t>
            </w: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П3100 </w:t>
            </w: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ЗОН 11 </w:t>
            </w:r>
            <w:r>
              <w:rPr>
                <w:rFonts w:ascii="Arial" w:eastAsia="Arial" w:hAnsi="Arial" w:cs="Arial"/>
                <w:i/>
                <w:iCs/>
                <w:color w:val="777777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- </w:t>
            </w: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800x72.6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ТУ 22.21.21-061-73011750-2018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22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ООО (Группа Полипластик»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218.6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9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Прокладка открытом способом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Труба полиэтиленовая напорная ПЭ100 ЗОН </w:t>
            </w: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11 - </w:t>
            </w: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1000x90.8 (футляр)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ТУ 22.21.21-061-73011750-2018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22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ООО (Группа Полимостик»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192.0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01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прокладка методом </w:t>
            </w:r>
            <w:r>
              <w:rPr>
                <w:rFonts w:ascii="Arial" w:eastAsia="Arial" w:hAnsi="Arial" w:cs="Arial"/>
                <w:i/>
                <w:iCs/>
                <w:color w:val="777777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ГНБ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Труба гофрированная полипропиленовая блоксополимер КОРСИС ПРО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ЗИ16 0Й/00 250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9" w:lineRule="auto"/>
              <w:ind w:left="22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ООО </w:t>
            </w: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(Группа Полипластик»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549,9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9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Прокладка открытым способом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Мята КОРЖ 014/00250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22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 xml:space="preserve">ООО </w:t>
            </w: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(Группа Полипластик»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57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Конто утштеят ЮРОК Ш ОИ/ОО 2Я</w:t>
            </w:r>
            <w:r>
              <w:rPr>
                <w:color w:val="40404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 ИТ </w:t>
            </w: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ТР8-9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7" w:lineRule="auto"/>
              <w:ind w:left="220" w:right="0" w:firstLine="0"/>
              <w:jc w:val="lef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ООО (Группа Полипластик»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ru-RU" w:eastAsia="ru-RU" w:bidi="ru-RU"/>
              </w:rPr>
              <w:t>114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Грибник рЛюпржуМ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Ш </w:t>
            </w: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Ж1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РМ.С </w:t>
            </w: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ОШ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i/>
                <w:iCs/>
                <w:smallCap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шшшый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22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ООО </w:t>
            </w: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«Группа Пошаапич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/ройник рЛтраяуюй ПЭ№</w:t>
            </w:r>
            <w:r>
              <w:rPr>
                <w:color w:val="40404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 Яй/ </w:t>
            </w: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ГМ,6 0Н560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ТУ2Ш9-042-Ш17Х-2018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22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ООО «Грунт Пешпжш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Переход редркционниа сворной 1Ш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 И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РН=16 ЖООхУЮ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Ш1.2М42-7ЯШ-2Ш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22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ООО «Группа Пашшш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жтрЛрш Ж </w:t>
            </w: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ЫО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РЫ=1,61)Ш)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i/>
                <w:iCs/>
                <w:color w:val="5B5B5B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/шши-птш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22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ООО «Группа Питтю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Мурт</w:t>
            </w:r>
            <w:r>
              <w:rPr>
                <w:color w:val="40404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 жи/жйрил </w:t>
            </w: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Ж ПЭПЮ РН-1,6 ОЮЮ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122ШШ-Што-Х18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22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ООО «Груте Пштктк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Мурт</w:t>
            </w:r>
            <w:r>
              <w:rPr>
                <w:color w:val="242424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 меироЛрщ ОТ/ И® </w:t>
            </w: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РН=1,6 №0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1Ш/2Ш-Ш751Ш8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22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ООО «Грут Потижша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242424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ВО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tabs>
                <w:tab w:pos="1740" w:val="left"/>
              </w:tabs>
              <w:bidi w:val="0"/>
              <w:spacing w:before="0" w:after="0" w:line="240" w:lineRule="auto"/>
              <w:ind w:left="0" w:right="0" w:firstLine="30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зиетрЛрюн Ж/ ПМ</w:t>
              <w:tab/>
              <w:t>ЖЗ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1У22.21.2Ш-7ЯШ-2018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22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40404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ООО «Группа Ошжтю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5B5B5B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777777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извещении о закупке отсутствуют положения, предусматривающие возможность поставки и установки эквивалентного товара с аналогичными характеристиками.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письме ФАС России от 26.09.2019 №АК/84149/19 «О рассмотрении обращения» указано, что в случае, если проектно-сметная документация содержит указание на товарный знак, знак обслуживания, фирменное наименование, патент, полезную модель, промышленный образец, наименование места происхождения товара или наименование производителя, то заказчик в извещении о закупке с целью соблюдения положений Закона о контрактной системе должен установить условие о возможности использования эквивалентного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МКУ ГУС, в своих возражениях на жалобу, указало, что Заказчик не может указать в извещении закупке положения о принятии эквивалентного оборудования и описать параметры эквивалентности в виду того, что не может гарантировать, что эквивалентное оборудование будет совместимо с другим оборудованием,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используемом на строящемся объекте.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Заказчиком и представителем Заказчика не была обоснована потребность в использовании вышеуказанного товара, а также не указаны конкретные индивидуальные характеристики товаров производства ООО «Группа Полипластик», необходимые для производства работ и не позволяющие использовать товар других производителей. Таким образом, в рассматриваемом случае, отсутствует специфичность указанного в проектной документации товара, не позволяющая использовать товары (трубы, муфты и т.д.) иных производителей.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Ивановского УФАС России приходит к выводу, что Заказчику надлежало установить в извещении о проведении закупки положения, предусматривающие возможность использования при проведении работ эквивалентного товара, а также параметры эквивалентности. Следовательно, не предусмотрев указанные положения в извещении о закупке, Заказчик нарушил требования п. 1 ч. 1 ст. 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Второй довод жалобы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Ивановского УФАС России считает необоснованным, ввиду следующих обстоятельств.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8 ч. 1 ст. 33 Закона о контрактной системе описание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должно содержать проектную документацию, утвержденную в порядке, установленном законодательством о градостроительной деятельности, или типовую проектную документацию, или смету на капитальный ремонт объекта капитального строительства, за исключением случая, если подготовка таких проектных документаций, сметы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описание объекта закупки в соответствии с пунктом 8 части 1 статьи 33 Закона о контрактной системе является надлежащим исполнением требований пунктов 1 - 3 части 1 статьи 33 Закона о контрактной системе, части 2 статьи 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 ст. 743 Гражданского кодекса Российской Федерации (далее - ГК РФ)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6 ст. 52 Градостроительного кодекса Российской Федерации (далее - ГрК РФ)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в соответствии с проектной документацией.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 ч. 2 ст. 48 ГрК РФ установлено, что проектная документация представляет собой документацию, содержащую материалы в текстовой форме и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которая содержит показатели, позволяющие определить соответствие закупаемой работы установленным заказчиком требованиям.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на заседании Комиссии Ивановского УФАС России указал, что в рамках исполнения контракта по закупке будет осуществлена только часть работ предусмотренных проектной документацией. В связи с чем, Заказчиком подготовлено и размещено в составе извещения о закупке положительное заключение экспертизы достоверности определения сметной стоимости на необходимую часть проектной документации. Положительное заключение государственной экспертизы на всю проектно-сметную документацию имеется у Заказчика в наличии.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Ивановского УФАС России отмечает, что законодательство Российской Федерации не содержит положений, согласно которым Заказчик обязан размещать в составе извещения о закупке заключение государственной экспертизы проектной документации и экспертизы достоверности определения сметной стоимости. Определение объема работ по контракту осуществляется размещением в составе извещения о закупке проектно-сметной документации.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 Ивановского УФАС России полагает, что в действиях Заказчика отсутствует нарушение Закона о контрактной системе, поскольку законодательно не закреплена обязанность Заказчика размещать в составе извещения о закупке положительное заключение государственной экспертизы, так как объемы необходимых работ содержатся в размещенной проектной документации.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Третий довод жалобы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Ивановского УФАС России считает необоснованным на основании следующего.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16.02.2008 №87 «О составе разделов проектной документации и требованиях к их содержанию» (далее - Постановление Правительства РФ от 16.02.2008 №87) установлены требования к составу разделов проектной документации и к содержанию этих разделов.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3 приложения к Постановлению Правительства РФ от 16.02.2008 №87 проектная документация состоит из текстовой и графической частей, содержащих материалы в текстовой и графической формах и (или) в форме информационной модели.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Текстовая часть содержит сведения в отношении объекта капитального строительства, описание принятых технических и иных решений, в том числе значения параметров и другие проектные характеристики зданий, строений и сооружений, направленные на обеспечение выполнения установленных требований,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пояснения, ссылки на нормативные и (или) технические документы и (или)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исходные данные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проектирования (в том числе результаты инженерных изысканий), используемые при подготовке проектной документации, и результаты расчетов, обосновывающие принятые технические и иные решения.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Графическая часть отображает принятые технические и иные решения и выполняется в виде чертежей, схем, планов и других документов в графической форме.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Подготовка проектной документации должна осуществляться в соответствии с законодательством Российской Федерации о государственной тайне.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Принятые в проектной документации технические и иные решения должны быть совместимы друг с другом, то есть обеспечивать технологическую возможность их совместной реализации при строительстве, реконструкции, капитальном ремонте, а также возможность эксплуатации объекта капитального строительства с учетом требований, установленных законодательством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Принятые в проектной документации решения и мероприятия, обеспечивающие промышленную безопасность на опасных производственных объектах, должны соответствовать законодательству Российской Федерации о промышленной безопасности опасных производственных объектов.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п. 3(2) приложения к Постановлению Правительства РФ от 16.02.2008 №87 указано, что в состав проектной документации для строительства линейных объектов или на отдельные этапы строительства линейных объектов в обязательном порядке включаются следующие разделы: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1 «Пояснительная записка»;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2 «Проект полосы отвода»;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3 «Технологические и конструктивные решения линейного объекта. Искусственные сооружения»;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4 «Здания, строения и сооружения, входящие в инфраструктуру линейного объекта»;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5 «Проект организации строительства»;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6 «Мероприятия по охране окружающей среды»;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7 «Мероприятия по обеспечению пожарной безопасности»;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8 «Требования к обеспечению безопасной эксплуатации линейного объекта»;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9 «Смета на строительство, реконструкцию, капитальный ремонт, снос объекта капитального строительства»;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10 «Иная документация в случаях, предусмотренных законодательными и иными нормативными правовыми актами Российской Федерации».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Проанализировав приложения к извещению о проведении закупки, Комиссия Ивановского УФАС России установила, что в извещении о проведении закупки содержатся все вышеуказанные разделы.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34 раздела 3 «Состав разделов проектной документации на линейные объекты капитального строительства и требования к содержанию этих разделов»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установлено, что раздел 1 «Пояснительная записка» должен содержать в текстовой части: реквизиты одного из указанных в подпункте "а" пункта 10 настоящего Положения документов, на основании которого принято решение о разработке проектной документации на линейные объекты, а также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исходные данные и условия для подготовки проектной документации на линейный объект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указанные в подпункте "б" пункта 10 Положения, а также реквизиты утвержденной в установленном порядке документации по планировке территории (проекта планировки территории и проекта межевания территории).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пояснил представитель Заявителя на заседании Комиссии Ивановского УФАС России, Заказчик разместил исходные данные только в текстовой части. В графической части отсутствует схематичное обозначение реперных знаков, что не позволяет установить их фактическое наличие на объекте.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4.8 «СП 126.13330.2017. Свод правил. Геодезические работы в строительстве. СНиП 3.01.03-84» (далее - Правила), утвержденных Приказом Минстроя России от 24.10.2017 №1469/пр «Об утверждении СП 126.13330.2017 "СНиП 3.01.03-84 Геодезические работы в строительстве», при строительстве следует разрабатывать проекты производства геодезических работ в порядке, установленном для разработки проектов производства работ в полном или неполном объемах (по решению лица, осуществляющего руководство строительством).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4.11.1 Правил проект производства геодезических работ для строительства зданий (комплексов) и сооружений должен содержать указания о местоположении знаков геодезической плановой и высотной основы на исходном и монтажных горизонтах, включая створные линии по направлениям осей возводимых зданий и комплексов, по их внешним и иным контурам, места размещения реперов или их кустов, организацию и технологию ведения работ, рекомендованный перечень измерительных приборов и инструментов необходимой точности.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 4.12 Правил при передаче застройщиком (техническим заказчиком) генеральному подрядчику (подрядчику) знаков геодезической разбивочной основы к акту приемки-передачи (формы актов приведены в приложении Б) должны прилагать каталоги координат знаков в системе МСК-СРФ и отметки реперов в государственной системе высот.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на заседании Комиссии Ивановского УФАС России пояснил, что информация о расположении реперных знаков в схематическом виде у Заказчика имеется и будет передана подрядчику после заключения контракта. Обязанность размещать данную информацию на официальном сайте в составе извещения о закупке Законом о контрактной системе не предусмотрено, поскольку отсутствие данных графиков вполне позволяет оценить весь объем работ по контракту.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Ивановского УФАС России отмечает, что Заявителем не были указаны конкретные обстоятельства, которые свидетельствуют о ненадлежащем описании объекта, ввиду отсутствия реперных знаков. Фактически доводы Заявителя сводятся к стремлению определить имеются ли указанные сведения у Заказчика.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Комиссия Ивановского УФАС России полагает, что Заказчиком не было допущено нарушение Закона о контрактной системе, поскольку Заявителем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доказано, что отсутствие информации о расположении реперных знаков не позволяет определить объем работ по контракту, а также подать заявку на участие в закупке.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Четвертый довод жалобы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Ивановского УФАС России считает необоснованным ввиду следующих обстоятельств.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6.2.19 проекта контракта извещения о закупке Заказчик обязан передать подрядчику сформированные, поставленные на кадастровый учет и оформленные на каком-либо виде права за Заказчиком земельные участки на период строительства. При невыполнении данного обязательства Заказчиком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Подрядчик вправе приостановить выполнение работ до момента передачи Заказчиком надлежащим образом оформленных прав на земельные участки под строительство объекта. На период приостановки работ соответственно продлевается срок выполнения работ.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прямой ответственностью Заказчика является передача подрядчику земельных участков для проведения строительных работ.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и его представитель на заседании Комиссии Ивановского УФАС России также не смогли указать нормативное обоснование, предусматривающее обязанность Заказчика по размещению документов о праве собственности на земельные участки под строительство. Более того, не было указано, почему отсутствие данных документов не позволяет Заявителю подать заявку на участие в закупке.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Ивановского УФАС России не усматривает нарушения в действиях Заказчика, поскольку размещение указанных документов в извещении о закупке не предусмотрено Законом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изложенное, а также тот факт, что выявленное нарушение Закона о контрактной системе свидетельствует о наличии признаков состава административного правонарушения, предусмотренного ч. 4.1 ст. 7.30 Кодекса Российской Федерации об административных правонарушениях (далее - КоАП РФ), руководствуясь ст. 99, 106 Закона о контрактной системе, Комиссия Ивановского УФАС России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Летягина Юрия Анатольевича на действия МКУ ГУС при проведении открытого конкурса в электронной форме на строительство централизованной системы водоотведения в г.Кинешма. I этап (извещение 0133200001723003278) обоснованной в части первого довода жалобы.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Установить в действиях МКУ ГУС нарушение п. 1 ч. 1 ст. 33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4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об устранении нарушения законодательства о контрактной системе не выдавать, в связи с выдачей предписания по жалобе ООО «Профит».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настоящей жалобы уполномоченному должностному лицу Ивановского УФАС России для принятия решения в соответствии с КоАП РФ.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68" w:right="536" w:bottom="1313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660400" distB="216535" distL="0" distR="0" simplePos="0" relativeHeight="125829381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660400</wp:posOffset>
                </wp:positionV>
                <wp:extent cx="1828800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52.pt;width:144.pt;height:19.900000000000002pt;z-index:-125829372;mso-wrap-distance-left:0;mso-wrap-distance-top:52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33425" distB="0" distL="0" distR="1789430" simplePos="0" relativeHeight="125829383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733425</wp:posOffset>
            </wp:positionV>
            <wp:extent cx="353695" cy="39624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824865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30000000000001pt;margin-top:64.95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60400" distB="216535" distL="0" distR="0" simplePos="0" relativeHeight="125829384" behindDoc="0" locked="0" layoutInCell="1" allowOverlap="1">
                <wp:simplePos x="0" y="0"/>
                <wp:positionH relativeFrom="page">
                  <wp:posOffset>6155690</wp:posOffset>
                </wp:positionH>
                <wp:positionV relativeFrom="paragraph">
                  <wp:posOffset>660400</wp:posOffset>
                </wp:positionV>
                <wp:extent cx="1039495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Т.А. Михеева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4.69999999999999pt;margin-top:52.pt;width:81.850000000000009pt;height:19.900000000000002pt;z-index:-125829369;mso-wrap-distance-left:0;mso-wrap-distance-top:52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Т.А. Михеева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2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7E7E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СВЕДЕНИЯ О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СЕРТИФИКАТЕ </w:t>
      </w:r>
      <w:r>
        <w:rPr>
          <w:rFonts w:ascii="Georgia" w:eastAsia="Georgia" w:hAnsi="Georgia" w:cs="Georgia"/>
          <w:color w:val="E7E7E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ЭП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5B5B5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Михеева Татьяна Алексеевна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0404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5B5B5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00Е241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</w:t>
      </w:r>
      <w:r>
        <w:rPr>
          <w:rFonts w:ascii="Arial" w:eastAsia="Arial" w:hAnsi="Arial" w:cs="Arial"/>
          <w:color w:val="40404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Е29С55А37443Е42838ВА3446Е04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5B5B5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5B5B5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27.01.2023 </w:t>
      </w:r>
      <w:r>
        <w:rPr>
          <w:rFonts w:ascii="Arial" w:eastAsia="Arial" w:hAnsi="Arial" w:cs="Arial"/>
          <w:color w:val="40404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5B5B5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21.04.2024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21510" simplePos="0" relativeHeight="125829386" behindDoc="0" locked="0" layoutInCell="1" allowOverlap="1">
            <wp:simplePos x="0" y="0"/>
            <wp:positionH relativeFrom="page">
              <wp:posOffset>2684145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30000000000001pt;margin-top:11.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А.О. Клюшкин</w:t>
      </w:r>
    </w:p>
    <w:p>
      <w:pPr>
        <w:pStyle w:val="Style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2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7E7E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СВЕДЕНИЯ О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СЕРТИФИКАТЕ </w:t>
      </w:r>
      <w:r>
        <w:rPr>
          <w:rFonts w:ascii="Georgia" w:eastAsia="Georgia" w:hAnsi="Georgia" w:cs="Georgia"/>
          <w:color w:val="E7E7E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ЭП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77777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Клюшкин Александр Олегович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24242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24242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00ЕВ59ВВ1496ОА7052АА7526655В971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084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3100" w:right="0" w:firstLine="0"/>
        <w:jc w:val="left"/>
        <w:rPr>
          <w:sz w:val="12"/>
          <w:szCs w:val="12"/>
        </w:rPr>
      </w:pPr>
      <w:r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6015355</wp:posOffset>
                </wp:positionH>
                <wp:positionV relativeFrom="paragraph">
                  <wp:posOffset>482600</wp:posOffset>
                </wp:positionV>
                <wp:extent cx="1173480" cy="252730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Г.П. Долакидзе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3.65000000000003pt;margin-top:38.pt;width:92.400000000000006pt;height:19.900000000000002pt;z-index:-1258293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Г.П. Долакидзе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Arial" w:eastAsia="Arial" w:hAnsi="Arial" w:cs="Arial"/>
          <w:color w:val="77777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24242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5B5B5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04.05.2023 </w:t>
      </w:r>
      <w:r>
        <w:rPr>
          <w:rFonts w:ascii="Arial" w:eastAsia="Arial" w:hAnsi="Arial" w:cs="Arial"/>
          <w:color w:val="24242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5B5B5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27.07.2024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90" w:line="218" w:lineRule="auto"/>
        <w:ind w:left="3740" w:right="0" w:firstLine="0"/>
        <w:jc w:val="left"/>
        <w:rPr>
          <w:sz w:val="12"/>
          <w:szCs w:val="12"/>
        </w:rPr>
      </w:pPr>
      <w:r>
        <w:rPr>
          <w:color w:val="24242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40404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ЭП, </w:t>
      </w:r>
      <w:r>
        <w:rPr>
          <w:color w:val="24242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7E7E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77777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Долакидзе Георгий Паатаевич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0404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0404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00803С0022813180С9724ЕПА042С72368</w:t>
      </w:r>
      <w:r>
        <w:rPr>
          <w:rFonts w:ascii="Arial" w:eastAsia="Arial" w:hAnsi="Arial" w:cs="Arial"/>
          <w:color w:val="40404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77777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40404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28.08.2023 по </w:t>
      </w:r>
      <w:r>
        <w:rPr>
          <w:rFonts w:ascii="Arial" w:eastAsia="Arial" w:hAnsi="Arial" w:cs="Arial"/>
          <w:color w:val="77777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20.1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</w:t>
      </w:r>
      <w:r>
        <w:rPr>
          <w:rFonts w:ascii="Arial" w:eastAsia="Arial" w:hAnsi="Arial" w:cs="Arial"/>
          <w:color w:val="40404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0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10146030</wp:posOffset>
              </wp:positionV>
              <wp:extent cx="5638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800000000000004pt;margin-top:798.89999999999998pt;width:44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9987915</wp:posOffset>
              </wp:positionV>
              <wp:extent cx="56388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99999999999999pt;margin-top:786.45000000000005pt;width:44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Подпись к картинке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8">
    <w:name w:val="Другое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Подпись к картинке"/>
    <w:basedOn w:val="Normal"/>
    <w:link w:val="CharStyle6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7">
    <w:name w:val="Другое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280"/>
      <w:ind w:firstLine="18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