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12700</wp:posOffset>
                </wp:positionV>
                <wp:extent cx="2249170" cy="237426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2374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Ивановской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Жарова, 10, Иваново, 153000</w:t>
                              <w:br/>
                              <w:t>тел. (4932) 32-85-73, факс (4932) 32-63-60</w:t>
                              <w:br/>
                              <w:t>е-тай: Го37@Га§.§оу.п1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7" w:val="left"/>
                              </w:tabs>
                              <w:bidi w:val="0"/>
                              <w:spacing w:before="0" w:after="0" w:line="262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4242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штамп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24242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4360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V-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2.600000000000009pt;margin-top:1.pt;width:177.09999999999999pt;height:186.95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Ивановской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Жарова, 10, Иваново, 153000</w:t>
                        <w:br/>
                        <w:t>тел. (4932) 32-85-73, факс (4932) 32-63-60</w:t>
                        <w:br/>
                        <w:t>е-тай: Го37@Га§.§оу.п1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7" w:val="left"/>
                        </w:tabs>
                        <w:bidi w:val="0"/>
                        <w:spacing w:before="0" w:after="0" w:line="262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4242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штамп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24242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Fonts w:ascii="Times New Roman" w:eastAsia="Times New Roman" w:hAnsi="Times New Roman" w:cs="Times New Roman"/>
                          <w:color w:val="4360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V-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52400" distB="0" distL="114300" distR="114300" simplePos="0" relativeHeight="125829380" behindDoc="0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9213850</wp:posOffset>
            </wp:positionV>
            <wp:extent cx="1517650" cy="28638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Департаменту конкурсов и аукционов Ивановской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городского округа Кинешма «Городское управление строительства»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«Профит»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"ЕЭТП"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№037/06/33-19/2024 (07-15/2024-004)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4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 решения: 15 января 2024 года</w:t>
        <w:tab/>
        <w:t>город Иваново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 решения: 18 января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заместителя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Клюшкина А.О. - ведущего специалиста-эксперта отдела контроля в сфере закупок; Долакидзе Г.П. - ведущего специалиста-эксперта отдела контроля в сфере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проведено путем видеоконференцсвязи при участии представителя МКУ ГУС (далее - Заказчик) - Фащевского Артема Сергеевича (доверенность от 12.01.2023),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«ПРОФИТ» (далее - Заявитель), Департамента конкурсов и аукционов Ивановской области (указанные лица были уведомлены о рассмотрении жалобы),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«ПРОФИТ»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0133200001723003278), 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результате осуществления внеплановой проверки в соответствии с п. 1 ч. 15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29.12.2023 в Управление Федеральной антимонопольной службы по Ивановской области поступила жалоба ООО «ПРОФИТ»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первом доводе жалобы Заявитель указал, что в составе извещения о закупке была размещена проектно-сметная документация на выполнение работ, в которой указано, что при исполнении контракта исполнитель обязан использовать продукцию конкретного производителя. При этом, в нарушение требований Закона о контрактной системе Заказчик не установил в извещении о закупке возможность поставки эквивалента, а также параметры эквивалентности для указанного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второму доводу жалобы, в составе извещения о закупке не размещено положительное заключение для проектно-сметной документации, что не позволяет участникам закупки оценить объемы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третьем доводе жалобы Заявитель указал, что в составе извещения о проведении закупке размещены не все разделы проектной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ГУС в своих возражениях с доводами жалобы не согласилось и просило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Заявителем, Заказчиком документы, заслушав представителя Заказчика, участвующего в рассмотрении жалобы, проведя внеплановую проверку в соответствии с ч. 15 ст. 99 Закона о контрактной системе, Комиссия Ивановского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на официальном сайте единой информационной системы в сфере закупок в информационно-телекоммуникационной сети Интернет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\у\у\у./акир|&lt;1.доу. 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(далее - официальный сайт) размещено извещение №0133200001723003278 о проведении открытого конкурса в электронной форме на строительство централизованной системы водоотведения в г.Кинешма. I этап.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открытого конкурса в электронной форме, протоколами, составленными при определении поставщика (подрядчика, исполнителя), размещенными на официальном сайте: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- 493 601 290,65 руб.;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подачи заявок - 29.12.2023 07:00;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рассмотрения и оценки вторых частей заявок на участие в закупке - 10.01.2024;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- 11.01.2024;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10.01.2024 №ПРОШ по окончании срока подачи заявок на участие в открытом конкурсе в электронной форме было подано 4 заявки. Заявки участников с идентификационными номерами 1, 2, 4 были признаны соответствующими извещению об осуществлении закупки и Закону о контрактной системе. Заявка участника с идентификационным номером 3 была отклонена на основании п. 3 ч. 12 ст. 48 Закона о контрактной системе, в связи с несоответствием участника закупки требованиям, установленным в извещении об осуществлении закупки в соответствии с ч. 2 ст. 31 Закона о контрактной системе (представленный участником закупки контракт не соответствует требованиям позиции 8 раздела II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11.01.2024 №ИЭОК1 победителем закупки был признан участник закупки с идентификационным номером 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Ивановского УФАС России считает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первый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обоснованным на основании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соответствие с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электронный документ с описанием объекта закупки в соответствии со статьей 33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Ивановского УФАС России установлено, что в проектной документации, размещенной совместно с извещением о проведении открытого конкурса в электронной форме, содержится указание об использовании при осуществлении работ следующих товаров:</w:t>
      </w:r>
    </w:p>
    <w:tbl>
      <w:tblPr>
        <w:tblOverlap w:val="never"/>
        <w:jc w:val="right"/>
        <w:tblLayout w:type="fixed"/>
      </w:tblPr>
      <w:tblGrid>
        <w:gridCol w:w="3005"/>
        <w:gridCol w:w="1387"/>
        <w:gridCol w:w="811"/>
        <w:gridCol w:w="1013"/>
        <w:gridCol w:w="461"/>
        <w:gridCol w:w="461"/>
        <w:gridCol w:w="576"/>
        <w:gridCol w:w="926"/>
      </w:tblGrid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попарная ПЗ100 ЗОН </w:t>
            </w: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17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63x3,8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ГОС!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10599-2001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Полипластик»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5,0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открытии способом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П3100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ЗОН 11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250x22,7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ГОСТ 18599-2001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60.</w:t>
            </w: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прокладка методом </w:t>
            </w: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ГНБ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П3100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ЗОН 11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400x36,3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ГОСТ 18599-200!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6,0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открытым способом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03100 ЗОН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11 - 560x50.8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1У22.21.21-Х1-Ш750-2010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2645.0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методом ГНБ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Труба полиэтиленовая напорная П3100 ЗОН 11 - 7Ю164.5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ГУ 22.21.21-Ж-730Ш-201В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1920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113100 ЗОН 11 </w:t>
            </w: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800x72.6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ТУ 22.21.21-061-73011750-2018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218.6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открытым способом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(13100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ЗОН 11 - 1000x90.8 (футляр)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№22.21.21-Ю-7Жт0-2010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192.0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380" w:right="0" w:hanging="38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прокладка методом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ГНБ '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Труба гофрированная полипропиленовая блоксополимер КОРСИС ПРО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ЗП16 0Н/00 250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696969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549,9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Прокладка открытым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способом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Нуую КОРЖ №1/00250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К/ито ]штш№т ЮРЖ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Ш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т/00 250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тт-г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1роИм раЪтпроходиоО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Ш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Ж1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РМ=1,6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585858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7УШШ-ШШ016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Круппа Пошаапич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41414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1рЛт равнопроходной ШЖ ОТ/ 611=1,6 №0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24242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V 22.21.2Ш-73Ш0-2016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^Группа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Переход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иржжй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сборно! ОТ $КН РН=1,6 Ж№710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69696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1Ш1.2Ш-7ЯШЯ-2018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Круппа Пшжш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24242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жтросбарюя Ж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 РНК,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6 Ш)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69696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1Ш1.2Ш-7ЯШ-2016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(Группа 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5858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Мурта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ммрвсйри» ОТ/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Ш) РМ=1,6 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ТШ.2Ш-/т-21№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Крута Пштаст/ч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41414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Мурта</w:t>
            </w:r>
            <w:r>
              <w:rPr>
                <w:rFonts w:ascii="Arial" w:eastAsia="Arial" w:hAnsi="Arial" w:cs="Arial"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жирсЛрщ ОТ/ И®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РНК,6 ОШ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1Ш1.2Ш-72Ю50-2018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Круппа Пошпкамч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24242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Мурта</w:t>
            </w:r>
            <w:r>
              <w:rPr>
                <w:rFonts w:ascii="Arial" w:eastAsia="Arial" w:hAnsi="Arial" w:cs="Arial"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жарЛрш ОТ7 </w:t>
            </w: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ШО РН-1,6 </w:t>
            </w: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Ж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5858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ГУ22.21.2Ш-7ЯШ-2018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14141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Круппа Пагшжтя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85858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69696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1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извещении о закупке отсутствуют положения, предусматривающие возможность поставки и установки эквивалентного товара с аналогичными характеристиками.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письме ФАС России от 26.09.2019 №АК/84149/19 «О рассмотрении обращения» указано, что в случае, если проектно-сметная документация содержит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то заказчик в извещении о закупке с целью соблюдения положений Закона о контрактной системе должен установить условие о возможности использования эквивалентного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ГУС, в своих возражениях на жалобу, указало, что Заказчик не может указать в извещении закупке положения о принятии эквивалентного оборудования и описать параметры эквивалентности в виду того, что не может гарантировать, что эквивалентное оборудование будет совместимо с другим оборудованием, используемом на строящемся объекте.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Заказчиком и представителем Заказчика не была обоснована потребность в использовании вышеуказанного товара, а также не указаны конкретные индивидуальные характеристики товаров производства ООО «Группа Полипластик», необходимые для производства работ и не позволяющие использовать товар других производителей. Таким образом, в рассматриваемом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случае, отсутствует специфичность указанного в проектной документации товара, не позволяющая использовать товары (трубы, муфты и т.д.) иных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Ивановского УФАС России приходит к выводу, что Заказчику надлежало установить в извещении о проведении закупки положения, предусматривающие возможность использования при проведении работ эквивалентного товара, а также параметры эквивалентности. Следовательно, не предусмотрев указанные положения в извещении о закупке, Заказчик нарушил требования п. 1 ч. 1 ст.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Второй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считает необоснованным, ввиду следующих обстоятельств.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8 ч. 1 ст.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пунктом 8 части 1 статьи 33 Закона о контрактной системе является надлежащим исполнением требований пунктов 1 - 3 части 1 статьи 33 Закона о контрактной системе, части 2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ст. 743 Гражданского кодекса Российской Федерации (далее - ГК РФ)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6 ст. 52 Градостроительного кодекса Российской Федерации (далее - ГрК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ч. 2 ст. 48 ГрК РФ установлено, что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строительство, реконструкция, капитальный ремонт объекта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Ивановского УФАС России указал, что в рамках исполнения контракта по закупке будет осуществлена только часть работ предусмотренных проектной документацией. В связи с чем, Заказчиком подготовлено и размещено в составе извещения о закупке положительное заключение экспертизы достоверности определения сметной стоимости на необходимую часть проектной документации. Положительное заключение государственной экспертизы на всю проектно-сметную документацию имеется у Заказчика в наличии.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отмечает, что законодательство Российской Федерации не содержит положений, согласно которым Заказчик обязан размещать в составе извещения о закупке заключение государственной экспертизы проектной документации и экспертизы достоверности определения сметной стоимости. Определение объема работ по контракту осуществляется размещением в составе извещения о закупке проектно-сметной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Ивановского УФАС России полагает, что в действиях Заказчика отсутствует нарушение Закона о контрактной системе, поскольку законодательно не закреплена обязанность Заказчика размещать в составе извещения о закупке положительное заключение государственной экспертизы, так как объемы необходимых работ содержатся в размещенной проектной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Третий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считает необоснованным на основании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16.02.2008 №87 «О составе разделов проектной документации и требованиях к их содержанию» (далее - Постановление Правительства РФ от 16.02.2008 №87) установлены требования к составу разделов проектной документации и к содержанию этих разделов.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 приложения к Постановлению Правительства РФ от 16.02.2008 №87 проектная документация состоит из текстовой и графической частей, содержащих материалы в текстовой и графической формах и (или) в форме информационной модели.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Текстовая часть содержит сведения в отношении объекта капитального строительства, описание принятых технических и иных решений, в том числе значения параметров и другие проектные характеристики зданий, строений и сооружений, направленные на обеспечение выполнения установленных требований, пояснения, ссылки на нормативные и (или) технические документы и (или)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исходные данные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проектирования (в том числе результаты инженерных изысканий), используемые при подготовке проектной документации, и результаты расчетов, обосновывающие принятые технические и иные решения.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Графическая часть отображает принятые технические и иные решения и выполняется в виде чертежей, схем, планов и других документов в графической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Подготовка проектной документации должна осуществляться в соответствии с законодательством Российской Федерации о государственной тайне.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Принятые в проектной документации технические и иные решения должны быть совместимы друг с другом, то есть обеспечивать технологическую возможность их совместной реализации при строительстве, реконструкции, капитальном ремонте, а также возможность эксплуатации объекта капитального строительства с учетом требований, установленных законодательством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Принятые в проектной документации решения и мероприятия, обеспечивающие промышленную безопасность на опасных производственных объектах, должны соответствовать законодательству Российской Федерации о промышленной безопасности опасных производственных объектов.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 3(2) приложения к Постановлению Правительства РФ от 16.02.2008 №87 указано, что в состав проектной документации для строительства линейных объектов или на отдельные этапы строительства линейных объектов в обязательном порядке включаются следующие разделы: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 «Пояснительная записка»;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2 «Проект полосы отвода»;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3 «Технологические и конструктивные решения линейного объекта. Искусственные сооружения»;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4 «Здания, строения и сооружения, входящие в инфраструктуру линейного объекта»;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5 «Проект организации строительства»;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6 «Мероприятия по охране окружающей среды»;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7 «Мероприятия по обеспечению пожарной безопасности»;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8 «Требования к обеспечению безопасной эксплуатации линейного объекта»;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9 «Смета на строительство, реконструкцию, капитальный ремонт, снос объекта капитального строительства»;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10 «Иная документация в случаях, предусмотренных законодательными и иными нормативными правовыми актами Российской Федерации».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приложения к извещению о проведении закупки, Комиссия Ивановского УФАС России установила, что в извещении о проведении закупки содержатся все вышеуказанные разделы.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Комиссия Ивановского УФАС России отмечает, что Заявитель не указал разделы проектно-сметной документации, не размещенные в составе извещения о закупке, не представил какие-либо доказательства недостаточности размещенной проектно-сметной документации для определения объема работ по контракту.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Ивановского УФАС России полагает, что Заказчиком не было допущено нарушение Закона о контрактной системе, поскольку Заявителем не доказан факт размещения в составе извещения о закупке проектно-сметной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в объеме, недостаточном для определения полного объема работ по контракту.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а также тот факт, что выявленное нарушение Закона о контрактной системе свидетельствует о наличии признаков состава административного правонарушения, предусмотренного ч. 4.1 ст. 7.30 Кодекса Российской Федерации об административных правонарушениях (далее - КоАП РФ), руководствуясь ст. 99, 106 Закона о контрактной системе, Комиссия Ивановского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«ПРОФИТ»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 обоснованной в части первого довода жалобы.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Установить в действиях МКУ ГУС нарушение п. 1 ч. 1 ст. 33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нарушения законодательства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настоящей жалобы уполномоченному должностному лицу Ивановского УФАС России для принятия решения в соответствии с КоАП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04" w:right="536" w:bottom="1187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266700" distB="203835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266700</wp:posOffset>
                </wp:positionV>
                <wp:extent cx="182880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21.pt;width:144.pt;height:19.699999999999999pt;z-index:-125829372;mso-wrap-distance-left:0;mso-wrap-distance-top:2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8140" distB="0" distL="0" distR="1807210" simplePos="0" relativeHeight="125829383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358140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427990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33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03835" distL="0" distR="0" simplePos="0" relativeHeight="125829384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266700</wp:posOffset>
                </wp:positionV>
                <wp:extent cx="103949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5pt;margin-top:21.pt;width:81.850000000000009pt;height:19.699999999999999pt;z-index:-125829369;mso-wrap-distance-left:0;mso-wrap-distance-top:2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00Р241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Р29С55А37443Е42838ВА3446Е04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27.01.2023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21.04.2024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А.О. Клюшкин</w:t>
      </w:r>
    </w:p>
    <w:p>
      <w:pPr>
        <w:pStyle w:val="Style4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Клюшкин Александр Олегович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00ЕВ59ВВ1496ОА7052АА7526655В971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27.07.2024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8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Г.П. Долакидзе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95" w:line="218" w:lineRule="auto"/>
        <w:ind w:left="3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4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6E6E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Долакидзе Георгий Паатаевич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ОО8ОЗСОО2281318ОС9724ЕОАО42С72308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28.08.2023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10002520</wp:posOffset>
              </wp:positionV>
              <wp:extent cx="5702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87.60000000000002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10002520</wp:posOffset>
              </wp:positionV>
              <wp:extent cx="5702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7.60000000000002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360A3"/>
      <w:sz w:val="72"/>
      <w:szCs w:val="72"/>
      <w:u w:val="single"/>
    </w:rPr>
  </w:style>
  <w:style w:type="character" w:customStyle="1" w:styleId="CharStyle5">
    <w:name w:val="Основной текст (4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0">
    <w:name w:val="Основной текст (2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Основной текст (6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6">
    <w:name w:val="Основной текст (3)_"/>
    <w:basedOn w:val="DefaultParagraphFont"/>
    <w:link w:val="Style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60A3"/>
      <w:sz w:val="72"/>
      <w:szCs w:val="72"/>
      <w:u w:val="single"/>
    </w:rPr>
  </w:style>
  <w:style w:type="paragraph" w:customStyle="1" w:styleId="Style4">
    <w:name w:val="Основной текст (4)"/>
    <w:basedOn w:val="Normal"/>
    <w:link w:val="CharStyle5"/>
    <w:pPr>
      <w:widowControl w:val="0"/>
      <w:shd w:val="clear" w:color="auto" w:fill="auto"/>
      <w:spacing w:after="10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auto"/>
      <w:spacing w:after="880"/>
      <w:ind w:left="16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5">
    <w:name w:val="Основной текст (3)"/>
    <w:basedOn w:val="Normal"/>
    <w:link w:val="CharStyle46"/>
    <w:pPr>
      <w:widowControl w:val="0"/>
      <w:shd w:val="clear" w:color="auto" w:fill="auto"/>
      <w:spacing w:after="100" w:line="228" w:lineRule="auto"/>
      <w:ind w:left="37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