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538" w:h="2131" w:wrap="none" w:hAnchor="page" w:x="1453" w:y="1129"/>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framePr w:w="3538" w:h="2131" w:wrap="none" w:hAnchor="page" w:x="1453" w:y="1129"/>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Республике Хакасия</w:t>
      </w:r>
    </w:p>
    <w:p>
      <w:pPr>
        <w:pStyle w:val="Style2"/>
        <w:keepNext w:val="0"/>
        <w:keepLines w:val="0"/>
        <w:framePr w:w="3538" w:h="2131" w:wrap="none" w:hAnchor="page" w:x="1453" w:y="1129"/>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Вяткина, 3, г. Абакан, 655017</w:t>
        <w:br/>
        <w:t>тел. (3902) 22-27-59, факс (3902) 22-62-55</w:t>
        <w:br/>
        <w:t>е-таП: 1о19@Га8.§оу.ги</w:t>
      </w:r>
    </w:p>
    <w:p>
      <w:pPr>
        <w:pStyle w:val="Style7"/>
        <w:keepNext/>
        <w:keepLines/>
        <w:framePr w:w="4166" w:h="878" w:wrap="none" w:hAnchor="page" w:x="1141" w:y="3495"/>
        <w:widowControl w:val="0"/>
        <w:shd w:val="clear" w:color="auto" w:fill="auto"/>
        <w:tabs>
          <w:tab w:pos="1954" w:val="left"/>
        </w:tabs>
        <w:bidi w:val="0"/>
        <w:spacing w:before="0" w:line="240" w:lineRule="auto"/>
        <w:ind w:left="0" w:right="0"/>
        <w:jc w:val="left"/>
      </w:pPr>
      <w:bookmarkStart w:id="0" w:name="bookmark0"/>
      <w:r>
        <w:rPr>
          <w:color w:val="000000"/>
          <w:spacing w:val="0"/>
          <w:w w:val="100"/>
          <w:position w:val="0"/>
          <w:shd w:val="clear" w:color="auto" w:fill="auto"/>
          <w:lang w:val="ru-RU" w:eastAsia="ru-RU" w:bidi="ru-RU"/>
        </w:rPr>
        <w:t>17.01.2024</w:t>
      </w:r>
      <w:r>
        <w:rPr>
          <w:color w:val="000000"/>
          <w:spacing w:val="0"/>
          <w:w w:val="100"/>
          <w:position w:val="0"/>
          <w:u w:val="none"/>
          <w:shd w:val="clear" w:color="auto" w:fill="auto"/>
          <w:lang w:val="ru-RU" w:eastAsia="ru-RU" w:bidi="ru-RU"/>
        </w:rPr>
        <w:tab/>
        <w:t>№</w:t>
      </w:r>
      <w:r>
        <w:rPr>
          <w:color w:val="000000"/>
          <w:spacing w:val="0"/>
          <w:w w:val="100"/>
          <w:position w:val="0"/>
          <w:shd w:val="clear" w:color="auto" w:fill="auto"/>
          <w:lang w:val="ru-RU" w:eastAsia="ru-RU" w:bidi="ru-RU"/>
        </w:rPr>
        <w:t xml:space="preserve"> ОШ/352/24</w:t>
      </w:r>
      <w:bookmarkEnd w:id="0"/>
    </w:p>
    <w:p>
      <w:pPr>
        <w:pStyle w:val="Style5"/>
        <w:keepNext w:val="0"/>
        <w:keepLines w:val="0"/>
        <w:framePr w:w="4166" w:h="878" w:wrap="none" w:hAnchor="page" w:x="1141" w:y="3495"/>
        <w:widowControl w:val="0"/>
        <w:shd w:val="clear" w:color="auto" w:fill="auto"/>
        <w:bidi w:val="0"/>
        <w:spacing w:before="0" w:after="0" w:line="240" w:lineRule="auto"/>
        <w:ind w:left="0" w:right="0" w:firstLine="0"/>
        <w:jc w:val="left"/>
      </w:pPr>
      <w:r>
        <w:rPr>
          <w:b w:val="0"/>
          <w:bCs w:val="0"/>
          <w:spacing w:val="0"/>
          <w:w w:val="100"/>
          <w:position w:val="0"/>
          <w:shd w:val="clear" w:color="auto" w:fill="auto"/>
          <w:lang w:val="ru-RU" w:eastAsia="ru-RU" w:bidi="ru-RU"/>
        </w:rPr>
        <w:t xml:space="preserve">На №  от</w:t>
      </w:r>
    </w:p>
    <w:p>
      <w:pPr>
        <w:pStyle w:val="Style11"/>
        <w:keepNext w:val="0"/>
        <w:keepLines w:val="0"/>
        <w:framePr w:w="3984" w:h="1123" w:wrap="none" w:hAnchor="page" w:x="1208" w:y="4974"/>
        <w:widowControl w:val="0"/>
        <w:shd w:val="clear" w:color="auto" w:fill="auto"/>
        <w:bidi w:val="0"/>
        <w:spacing w:before="0" w:after="0" w:line="262" w:lineRule="auto"/>
        <w:ind w:left="0" w:right="0" w:firstLine="0"/>
        <w:jc w:val="left"/>
        <w:rPr>
          <w:sz w:val="22"/>
          <w:szCs w:val="22"/>
        </w:rPr>
      </w:pPr>
      <w:r>
        <w:rPr>
          <w:color w:val="000000"/>
          <w:spacing w:val="0"/>
          <w:w w:val="100"/>
          <w:position w:val="0"/>
          <w:sz w:val="22"/>
          <w:szCs w:val="22"/>
          <w:shd w:val="clear" w:color="auto" w:fill="auto"/>
          <w:lang w:val="ru-RU" w:eastAsia="ru-RU" w:bidi="ru-RU"/>
        </w:rPr>
        <w:t>Решение по результатам рассмотрения жалобы №019/06/106- 4/2024 (ООО "Медицинские технологии")</w:t>
      </w:r>
    </w:p>
    <w:p>
      <w:pPr>
        <w:pStyle w:val="Style11"/>
        <w:keepNext w:val="0"/>
        <w:keepLines w:val="0"/>
        <w:framePr w:w="4795" w:h="10483" w:wrap="none" w:hAnchor="page" w:x="6402" w:y="927"/>
        <w:widowControl w:val="0"/>
        <w:shd w:val="clear" w:color="auto" w:fill="auto"/>
        <w:bidi w:val="0"/>
        <w:spacing w:before="0" w:after="0" w:line="262" w:lineRule="auto"/>
        <w:ind w:left="0" w:right="0" w:firstLine="0"/>
        <w:jc w:val="left"/>
        <w:rPr>
          <w:sz w:val="24"/>
          <w:szCs w:val="24"/>
        </w:rPr>
      </w:pPr>
      <w:r>
        <w:rPr>
          <w:color w:val="000000"/>
          <w:spacing w:val="0"/>
          <w:w w:val="100"/>
          <w:position w:val="0"/>
          <w:sz w:val="24"/>
          <w:szCs w:val="24"/>
          <w:shd w:val="clear" w:color="auto" w:fill="auto"/>
          <w:lang w:val="ru-RU" w:eastAsia="ru-RU" w:bidi="ru-RU"/>
        </w:rPr>
        <w:t>Заявителю -</w:t>
      </w:r>
    </w:p>
    <w:p>
      <w:pPr>
        <w:pStyle w:val="Style11"/>
        <w:keepNext w:val="0"/>
        <w:keepLines w:val="0"/>
        <w:framePr w:w="4795" w:h="10483" w:wrap="none" w:hAnchor="page" w:x="6402" w:y="927"/>
        <w:widowControl w:val="0"/>
        <w:shd w:val="clear" w:color="auto" w:fill="auto"/>
        <w:bidi w:val="0"/>
        <w:spacing w:before="0" w:after="280" w:line="262" w:lineRule="auto"/>
        <w:ind w:left="0" w:right="0" w:firstLine="0"/>
        <w:jc w:val="left"/>
        <w:rPr>
          <w:sz w:val="24"/>
          <w:szCs w:val="24"/>
        </w:rPr>
      </w:pPr>
      <w:r>
        <w:rPr>
          <w:color w:val="000000"/>
          <w:spacing w:val="0"/>
          <w:w w:val="100"/>
          <w:position w:val="0"/>
          <w:sz w:val="24"/>
          <w:szCs w:val="24"/>
          <w:shd w:val="clear" w:color="auto" w:fill="auto"/>
          <w:lang w:val="ru-RU" w:eastAsia="ru-RU" w:bidi="ru-RU"/>
        </w:rPr>
        <w:t>ООО «Медицинские технологии» 660016, Красноярский край, г. Красноярск, ул. Анатолия Гладкова, д.4, офис 013 т1кгзк@уап(1ех. ги</w:t>
      </w:r>
    </w:p>
    <w:p>
      <w:pPr>
        <w:pStyle w:val="Style11"/>
        <w:keepNext w:val="0"/>
        <w:keepLines w:val="0"/>
        <w:framePr w:w="4795" w:h="10483" w:wrap="none" w:hAnchor="page" w:x="6402" w:y="927"/>
        <w:widowControl w:val="0"/>
        <w:shd w:val="clear" w:color="auto" w:fill="auto"/>
        <w:bidi w:val="0"/>
        <w:spacing w:before="0" w:after="0" w:line="259" w:lineRule="auto"/>
        <w:ind w:left="0" w:right="0" w:firstLine="0"/>
        <w:jc w:val="left"/>
        <w:rPr>
          <w:sz w:val="24"/>
          <w:szCs w:val="24"/>
        </w:rPr>
      </w:pPr>
      <w:r>
        <w:rPr>
          <w:color w:val="000000"/>
          <w:spacing w:val="0"/>
          <w:w w:val="100"/>
          <w:position w:val="0"/>
          <w:sz w:val="24"/>
          <w:szCs w:val="24"/>
          <w:shd w:val="clear" w:color="auto" w:fill="auto"/>
          <w:lang w:val="ru-RU" w:eastAsia="ru-RU" w:bidi="ru-RU"/>
        </w:rPr>
        <w:t>Субъектам контроля:</w:t>
      </w:r>
    </w:p>
    <w:p>
      <w:pPr>
        <w:pStyle w:val="Style11"/>
        <w:keepNext w:val="0"/>
        <w:keepLines w:val="0"/>
        <w:framePr w:w="4795" w:h="10483" w:wrap="none" w:hAnchor="page" w:x="6402" w:y="927"/>
        <w:widowControl w:val="0"/>
        <w:shd w:val="clear" w:color="auto" w:fill="auto"/>
        <w:bidi w:val="0"/>
        <w:spacing w:before="0" w:after="0" w:line="259" w:lineRule="auto"/>
        <w:ind w:left="0" w:right="0" w:firstLine="0"/>
        <w:jc w:val="left"/>
        <w:rPr>
          <w:sz w:val="24"/>
          <w:szCs w:val="24"/>
        </w:rPr>
      </w:pPr>
      <w:r>
        <w:rPr>
          <w:color w:val="000000"/>
          <w:spacing w:val="0"/>
          <w:w w:val="100"/>
          <w:position w:val="0"/>
          <w:sz w:val="24"/>
          <w:szCs w:val="24"/>
          <w:shd w:val="clear" w:color="auto" w:fill="auto"/>
          <w:lang w:val="ru-RU" w:eastAsia="ru-RU" w:bidi="ru-RU"/>
        </w:rPr>
        <w:t>Государственному комитету по регулированию контрактной системы в сфере закупок Республики Хакасия и его комиссии</w:t>
      </w:r>
    </w:p>
    <w:p>
      <w:pPr>
        <w:pStyle w:val="Style11"/>
        <w:keepNext w:val="0"/>
        <w:keepLines w:val="0"/>
        <w:framePr w:w="4795" w:h="10483" w:wrap="none" w:hAnchor="page" w:x="6402" w:y="927"/>
        <w:widowControl w:val="0"/>
        <w:shd w:val="clear" w:color="auto" w:fill="auto"/>
        <w:bidi w:val="0"/>
        <w:spacing w:before="0" w:after="280" w:line="259" w:lineRule="auto"/>
        <w:ind w:left="0" w:right="0" w:firstLine="0"/>
        <w:jc w:val="left"/>
        <w:rPr>
          <w:sz w:val="24"/>
          <w:szCs w:val="24"/>
        </w:rPr>
      </w:pPr>
      <w:r>
        <w:rPr>
          <w:color w:val="000000"/>
          <w:spacing w:val="0"/>
          <w:w w:val="100"/>
          <w:position w:val="0"/>
          <w:sz w:val="24"/>
          <w:szCs w:val="24"/>
          <w:shd w:val="clear" w:color="auto" w:fill="auto"/>
          <w:lang w:val="ru-RU" w:eastAsia="ru-RU" w:bidi="ru-RU"/>
        </w:rPr>
        <w:t>655004, Республика Хакасия, г. Абакан, ул. Кравченко 11 «3», стр.1, пом. 9Н, 25Н §Х@Г-19.П1</w:t>
      </w:r>
    </w:p>
    <w:p>
      <w:pPr>
        <w:pStyle w:val="Style11"/>
        <w:keepNext w:val="0"/>
        <w:keepLines w:val="0"/>
        <w:framePr w:w="4795" w:h="10483" w:wrap="none" w:hAnchor="page" w:x="6402" w:y="927"/>
        <w:widowControl w:val="0"/>
        <w:shd w:val="clear" w:color="auto" w:fill="auto"/>
        <w:bidi w:val="0"/>
        <w:spacing w:before="0" w:after="0" w:line="262" w:lineRule="auto"/>
        <w:ind w:left="0" w:right="0" w:firstLine="0"/>
        <w:jc w:val="left"/>
        <w:rPr>
          <w:sz w:val="24"/>
          <w:szCs w:val="24"/>
        </w:rPr>
      </w:pPr>
      <w:r>
        <w:rPr>
          <w:color w:val="000000"/>
          <w:spacing w:val="0"/>
          <w:w w:val="100"/>
          <w:position w:val="0"/>
          <w:sz w:val="24"/>
          <w:szCs w:val="24"/>
          <w:shd w:val="clear" w:color="auto" w:fill="auto"/>
          <w:lang w:val="ru-RU" w:eastAsia="ru-RU" w:bidi="ru-RU"/>
        </w:rPr>
        <w:t>Государственному бюджетному учреждению здравоохранения Республики Хакасия «Черногорская межрайонная больница»</w:t>
      </w:r>
    </w:p>
    <w:p>
      <w:pPr>
        <w:pStyle w:val="Style11"/>
        <w:keepNext w:val="0"/>
        <w:keepLines w:val="0"/>
        <w:framePr w:w="4795" w:h="10483" w:wrap="none" w:hAnchor="page" w:x="6402" w:y="927"/>
        <w:widowControl w:val="0"/>
        <w:shd w:val="clear" w:color="auto" w:fill="auto"/>
        <w:bidi w:val="0"/>
        <w:spacing w:before="0" w:after="0" w:line="262" w:lineRule="auto"/>
        <w:ind w:left="0" w:right="0" w:firstLine="0"/>
        <w:jc w:val="left"/>
        <w:rPr>
          <w:sz w:val="24"/>
          <w:szCs w:val="24"/>
        </w:rPr>
      </w:pPr>
      <w:r>
        <w:rPr>
          <w:color w:val="000000"/>
          <w:spacing w:val="0"/>
          <w:w w:val="100"/>
          <w:position w:val="0"/>
          <w:sz w:val="24"/>
          <w:szCs w:val="24"/>
          <w:shd w:val="clear" w:color="auto" w:fill="auto"/>
          <w:lang w:val="ru-RU" w:eastAsia="ru-RU" w:bidi="ru-RU"/>
        </w:rPr>
        <w:t>655158, Республика Хакасия, г.</w:t>
      </w:r>
    </w:p>
    <w:p>
      <w:pPr>
        <w:pStyle w:val="Style11"/>
        <w:keepNext w:val="0"/>
        <w:keepLines w:val="0"/>
        <w:framePr w:w="4795" w:h="10483" w:wrap="none" w:hAnchor="page" w:x="6402" w:y="927"/>
        <w:widowControl w:val="0"/>
        <w:shd w:val="clear" w:color="auto" w:fill="auto"/>
        <w:bidi w:val="0"/>
        <w:spacing w:before="0" w:after="280" w:line="262" w:lineRule="auto"/>
        <w:ind w:left="0" w:right="0" w:firstLine="0"/>
        <w:jc w:val="left"/>
        <w:rPr>
          <w:sz w:val="24"/>
          <w:szCs w:val="24"/>
        </w:rPr>
      </w:pPr>
      <w:r>
        <w:rPr>
          <w:color w:val="000000"/>
          <w:spacing w:val="0"/>
          <w:w w:val="100"/>
          <w:position w:val="0"/>
          <w:sz w:val="24"/>
          <w:szCs w:val="24"/>
          <w:shd w:val="clear" w:color="auto" w:fill="auto"/>
          <w:lang w:val="ru-RU" w:eastAsia="ru-RU" w:bidi="ru-RU"/>
        </w:rPr>
        <w:t>Черногорок, пр-кт Космонавтов 21 Мих-§ог-Ьо1-п 1 @уапс1ех ,ги</w:t>
      </w:r>
    </w:p>
    <w:p>
      <w:pPr>
        <w:pStyle w:val="Style11"/>
        <w:keepNext w:val="0"/>
        <w:keepLines w:val="0"/>
        <w:framePr w:w="4795" w:h="10483" w:wrap="none" w:hAnchor="page" w:x="6402" w:y="927"/>
        <w:widowControl w:val="0"/>
        <w:shd w:val="clear" w:color="auto" w:fill="auto"/>
        <w:bidi w:val="0"/>
        <w:spacing w:before="0" w:after="280" w:line="264" w:lineRule="auto"/>
        <w:ind w:left="0" w:right="0" w:firstLine="0"/>
        <w:jc w:val="left"/>
        <w:rPr>
          <w:sz w:val="24"/>
          <w:szCs w:val="24"/>
        </w:rPr>
      </w:pPr>
      <w:r>
        <w:rPr>
          <w:color w:val="000000"/>
          <w:spacing w:val="0"/>
          <w:w w:val="100"/>
          <w:position w:val="0"/>
          <w:sz w:val="24"/>
          <w:szCs w:val="24"/>
          <w:shd w:val="clear" w:color="auto" w:fill="auto"/>
          <w:lang w:val="ru-RU" w:eastAsia="ru-RU" w:bidi="ru-RU"/>
        </w:rPr>
        <w:t>Оператору электронной площадки - ООО «РТС - тендер» ко@г18-1епс1ег.ги</w:t>
      </w:r>
    </w:p>
    <w:p>
      <w:pPr>
        <w:pStyle w:val="Style11"/>
        <w:keepNext w:val="0"/>
        <w:keepLines w:val="0"/>
        <w:framePr w:w="4795" w:h="10483" w:wrap="none" w:hAnchor="page" w:x="6402" w:y="927"/>
        <w:widowControl w:val="0"/>
        <w:shd w:val="clear" w:color="auto" w:fill="auto"/>
        <w:bidi w:val="0"/>
        <w:spacing w:before="0" w:after="280" w:line="262" w:lineRule="auto"/>
        <w:ind w:left="0" w:right="0" w:firstLine="0"/>
        <w:jc w:val="left"/>
        <w:rPr>
          <w:sz w:val="24"/>
          <w:szCs w:val="24"/>
        </w:rPr>
      </w:pPr>
      <w:r>
        <w:rPr>
          <w:color w:val="000000"/>
          <w:spacing w:val="0"/>
          <w:w w:val="100"/>
          <w:position w:val="0"/>
          <w:sz w:val="24"/>
          <w:szCs w:val="24"/>
          <w:shd w:val="clear" w:color="auto" w:fill="auto"/>
          <w:lang w:val="ru-RU" w:eastAsia="ru-RU" w:bidi="ru-RU"/>
        </w:rPr>
        <w:t>Заинтересованному лицу - Обществу с ограниченной ответственностью «Аймед» 660041, г. Красноярск, проспект Свободный, дом 60А, офис 3-10 24пие(1@§таП.сощ</w:t>
      </w:r>
    </w:p>
    <w:p>
      <w:pPr>
        <w:pStyle w:val="Style11"/>
        <w:keepNext w:val="0"/>
        <w:keepLines w:val="0"/>
        <w:framePr w:w="4795" w:h="10483" w:wrap="none" w:hAnchor="page" w:x="6402" w:y="927"/>
        <w:widowControl w:val="0"/>
        <w:shd w:val="clear" w:color="auto" w:fill="auto"/>
        <w:bidi w:val="0"/>
        <w:spacing w:before="0" w:after="280" w:line="262" w:lineRule="auto"/>
        <w:ind w:left="0" w:right="0" w:firstLine="0"/>
        <w:jc w:val="left"/>
        <w:rPr>
          <w:sz w:val="24"/>
          <w:szCs w:val="24"/>
        </w:rPr>
      </w:pPr>
      <w:r>
        <w:rPr>
          <w:color w:val="000000"/>
          <w:spacing w:val="0"/>
          <w:w w:val="100"/>
          <w:position w:val="0"/>
          <w:sz w:val="24"/>
          <w:szCs w:val="24"/>
          <w:shd w:val="clear" w:color="auto" w:fill="auto"/>
          <w:lang w:val="ru-RU" w:eastAsia="ru-RU" w:bidi="ru-RU"/>
        </w:rPr>
        <w:t>Извещение № 0380200000123008737</w:t>
      </w:r>
    </w:p>
    <w:p>
      <w:pPr>
        <w:pStyle w:val="Style11"/>
        <w:keepNext w:val="0"/>
        <w:keepLines w:val="0"/>
        <w:framePr w:w="3893" w:h="763" w:wrap="none" w:hAnchor="page" w:x="4294" w:y="11723"/>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РЕШЕНИЕ</w:t>
        <w:br/>
        <w:t>по жалобе № 019/06/106-4/2024</w:t>
      </w:r>
    </w:p>
    <w:p>
      <w:pPr>
        <w:pStyle w:val="Style11"/>
        <w:keepNext w:val="0"/>
        <w:keepLines w:val="0"/>
        <w:framePr w:w="2750" w:h="331" w:wrap="none" w:hAnchor="page" w:x="1146" w:y="128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«12» января 2023 года</w:t>
      </w:r>
    </w:p>
    <w:p>
      <w:pPr>
        <w:pStyle w:val="Style11"/>
        <w:keepNext w:val="0"/>
        <w:keepLines w:val="0"/>
        <w:framePr w:w="1142" w:h="322" w:wrap="none" w:hAnchor="page" w:x="10198" w:y="128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Абакан</w:t>
      </w:r>
    </w:p>
    <w:p>
      <w:pPr>
        <w:pStyle w:val="Style11"/>
        <w:keepNext w:val="0"/>
        <w:keepLines w:val="0"/>
        <w:framePr w:w="10267" w:h="1603" w:wrap="none" w:hAnchor="page" w:x="1098" w:y="13571"/>
        <w:widowControl w:val="0"/>
        <w:shd w:val="clear" w:color="auto" w:fill="auto"/>
        <w:bidi w:val="0"/>
        <w:spacing w:before="0" w:after="200"/>
        <w:ind w:left="0" w:right="0" w:firstLine="580"/>
        <w:jc w:val="left"/>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Хакасия по контролю закупок (далее - Комиссия) в составе:</w:t>
      </w:r>
    </w:p>
    <w:p>
      <w:pPr>
        <w:pStyle w:val="Style16"/>
        <w:keepNext/>
        <w:keepLines/>
        <w:framePr w:w="10267" w:h="1603" w:wrap="none" w:hAnchor="page" w:x="1098" w:y="13571"/>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111111111111111111111111</w:t>
      </w:r>
      <w:bookmarkEnd w:id="2"/>
    </w:p>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12" w:line="1" w:lineRule="exact"/>
      </w:pPr>
    </w:p>
    <w:p>
      <w:pPr>
        <w:widowControl w:val="0"/>
        <w:spacing w:line="1" w:lineRule="exact"/>
        <w:sectPr>
          <w:footerReference w:type="default" r:id="rId7"/>
          <w:footnotePr>
            <w:pos w:val="pageBottom"/>
            <w:numFmt w:val="decimal"/>
            <w:numRestart w:val="continuous"/>
          </w:footnotePr>
          <w:pgSz w:w="11900" w:h="16840"/>
          <w:pgMar w:top="284" w:right="537" w:bottom="1216" w:left="1097" w:header="0" w:footer="3" w:gutter="0"/>
          <w:pgNumType w:start="1"/>
          <w:cols w:space="720"/>
          <w:noEndnote/>
          <w:rtlGutter w:val="0"/>
          <w:docGrid w:linePitch="360"/>
        </w:sectPr>
      </w:pPr>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Председателя комиссии:</w:t>
      </w:r>
    </w:p>
    <w:p>
      <w:pPr>
        <w:pStyle w:val="Style11"/>
        <w:keepNext w:val="0"/>
        <w:keepLines w:val="0"/>
        <w:widowControl w:val="0"/>
        <w:shd w:val="clear" w:color="auto" w:fill="auto"/>
        <w:bidi w:val="0"/>
        <w:spacing w:before="0" w:after="1120" w:line="240" w:lineRule="auto"/>
        <w:ind w:left="0" w:right="0" w:firstLine="0"/>
        <w:jc w:val="both"/>
      </w:pPr>
      <w:r>
        <w:rPr>
          <w:color w:val="000000"/>
          <w:spacing w:val="0"/>
          <w:w w:val="100"/>
          <w:position w:val="0"/>
          <w:shd w:val="clear" w:color="auto" w:fill="auto"/>
          <w:lang w:val="ru-RU" w:eastAsia="ru-RU" w:bidi="ru-RU"/>
        </w:rPr>
        <w:t>Членов комиссии:</w:t>
      </w:r>
    </w:p>
    <w:p>
      <w:pPr>
        <w:pStyle w:val="Style11"/>
        <w:keepNext w:val="0"/>
        <w:keepLines w:val="0"/>
        <w:widowControl w:val="0"/>
        <w:shd w:val="clear" w:color="auto" w:fill="auto"/>
        <w:bidi w:val="0"/>
        <w:spacing w:before="0" w:after="0"/>
        <w:ind w:left="0" w:right="0" w:firstLine="760"/>
        <w:jc w:val="both"/>
      </w:pPr>
      <w:r>
        <w:rPr>
          <w:i/>
          <w:iCs/>
          <w:color w:val="000000"/>
          <w:spacing w:val="0"/>
          <w:w w:val="100"/>
          <w:position w:val="0"/>
          <w:shd w:val="clear" w:color="auto" w:fill="auto"/>
          <w:lang w:val="ru-RU" w:eastAsia="ru-RU" w:bidi="ru-RU"/>
        </w:rPr>
        <w:t>при участии представителей:</w:t>
      </w:r>
    </w:p>
    <w:p>
      <w:pPr>
        <w:pStyle w:val="Style11"/>
        <w:keepNext w:val="0"/>
        <w:keepLines w:val="0"/>
        <w:widowControl w:val="0"/>
        <w:shd w:val="clear" w:color="auto" w:fill="auto"/>
        <w:bidi w:val="0"/>
        <w:spacing w:before="0" w:after="0"/>
        <w:ind w:left="0" w:right="0" w:firstLine="760"/>
        <w:jc w:val="both"/>
      </w:pPr>
      <w:r>
        <w:rPr>
          <w:i/>
          <w:iCs/>
          <w:color w:val="000000"/>
          <w:spacing w:val="0"/>
          <w:w w:val="100"/>
          <w:position w:val="0"/>
          <w:shd w:val="clear" w:color="auto" w:fill="auto"/>
          <w:lang w:val="ru-RU" w:eastAsia="ru-RU" w:bidi="ru-RU"/>
        </w:rPr>
        <w:t xml:space="preserve">Уполномоченного органа </w:t>
      </w:r>
      <w:r>
        <w:rPr>
          <w:color w:val="000000"/>
          <w:spacing w:val="0"/>
          <w:w w:val="100"/>
          <w:position w:val="0"/>
          <w:shd w:val="clear" w:color="auto" w:fill="auto"/>
          <w:lang w:val="ru-RU" w:eastAsia="ru-RU" w:bidi="ru-RU"/>
        </w:rPr>
        <w:t>- Государственного комитета по регулированию контрактной системы в сфере закупок Республики Хакасия (далее - Госкомитет, уполномоченный орган):</w:t>
      </w:r>
    </w:p>
    <w:p>
      <w:pPr>
        <w:pStyle w:val="Style11"/>
        <w:keepNext w:val="0"/>
        <w:keepLines w:val="0"/>
        <w:widowControl w:val="0"/>
        <w:shd w:val="clear" w:color="auto" w:fill="auto"/>
        <w:bidi w:val="0"/>
        <w:spacing w:before="0" w:after="0"/>
        <w:ind w:left="0" w:right="0" w:firstLine="4920"/>
        <w:jc w:val="both"/>
      </w:pPr>
      <w:r>
        <w:rPr>
          <w:color w:val="000000"/>
          <w:spacing w:val="0"/>
          <w:w w:val="100"/>
          <w:position w:val="0"/>
          <w:shd w:val="clear" w:color="auto" w:fill="auto"/>
          <w:lang w:val="ru-RU" w:eastAsia="ru-RU" w:bidi="ru-RU"/>
        </w:rPr>
        <w:t>, на основании доверенности от 09.01.2024 № 240-1-ВП;</w:t>
      </w:r>
    </w:p>
    <w:p>
      <w:pPr>
        <w:pStyle w:val="Style11"/>
        <w:keepNext w:val="0"/>
        <w:keepLines w:val="0"/>
        <w:widowControl w:val="0"/>
        <w:shd w:val="clear" w:color="auto" w:fill="auto"/>
        <w:bidi w:val="0"/>
        <w:spacing w:before="0" w:after="0"/>
        <w:ind w:left="0" w:right="0" w:firstLine="580"/>
        <w:jc w:val="both"/>
      </w:pPr>
      <w:r>
        <w:rPr>
          <w:i/>
          <w:iCs/>
          <w:color w:val="000000"/>
          <w:spacing w:val="0"/>
          <w:w w:val="100"/>
          <w:position w:val="0"/>
          <w:shd w:val="clear" w:color="auto" w:fill="auto"/>
          <w:lang w:val="ru-RU" w:eastAsia="ru-RU" w:bidi="ru-RU"/>
        </w:rPr>
        <w:t>Государственного заказчика</w:t>
      </w:r>
      <w:r>
        <w:rPr>
          <w:color w:val="000000"/>
          <w:spacing w:val="0"/>
          <w:w w:val="100"/>
          <w:position w:val="0"/>
          <w:shd w:val="clear" w:color="auto" w:fill="auto"/>
          <w:lang w:val="ru-RU" w:eastAsia="ru-RU" w:bidi="ru-RU"/>
        </w:rPr>
        <w:t xml:space="preserve"> - Государственного бюджетного учреждения здравоохранения Республики Хакасия «Черногорская межрайонная больница» (далее — Заказчик, ГБУЗ РХ «Черногорская МБ»):</w:t>
      </w:r>
    </w:p>
    <w:p>
      <w:pPr>
        <w:pStyle w:val="Style11"/>
        <w:keepNext w:val="0"/>
        <w:keepLines w:val="0"/>
        <w:widowControl w:val="0"/>
        <w:shd w:val="clear" w:color="auto" w:fill="auto"/>
        <w:bidi w:val="0"/>
        <w:spacing w:before="0" w:after="0"/>
        <w:ind w:left="0" w:right="0" w:firstLine="4920"/>
        <w:jc w:val="both"/>
      </w:pPr>
      <w:r>
        <w:rPr>
          <w:color w:val="000000"/>
          <w:spacing w:val="0"/>
          <w:w w:val="100"/>
          <w:position w:val="0"/>
          <w:shd w:val="clear" w:color="auto" w:fill="auto"/>
          <w:lang w:val="ru-RU" w:eastAsia="ru-RU" w:bidi="ru-RU"/>
        </w:rPr>
        <w:t>, на основании доверенности от 09.01.2024 №б/н;</w:t>
      </w:r>
    </w:p>
    <w:p>
      <w:pPr>
        <w:pStyle w:val="Style11"/>
        <w:keepNext w:val="0"/>
        <w:keepLines w:val="0"/>
        <w:widowControl w:val="0"/>
        <w:shd w:val="clear" w:color="auto" w:fill="auto"/>
        <w:bidi w:val="0"/>
        <w:spacing w:before="0" w:after="0"/>
        <w:ind w:left="0" w:right="0" w:firstLine="580"/>
        <w:jc w:val="both"/>
      </w:pPr>
      <w:r>
        <w:rPr>
          <w:i/>
          <w:iCs/>
          <w:color w:val="000000"/>
          <w:spacing w:val="0"/>
          <w:w w:val="100"/>
          <w:position w:val="0"/>
          <w:shd w:val="clear" w:color="auto" w:fill="auto"/>
          <w:lang w:val="ru-RU" w:eastAsia="ru-RU" w:bidi="ru-RU"/>
        </w:rPr>
        <w:t>Заинтересованного лица —</w:t>
      </w:r>
      <w:r>
        <w:rPr>
          <w:color w:val="000000"/>
          <w:spacing w:val="0"/>
          <w:w w:val="100"/>
          <w:position w:val="0"/>
          <w:shd w:val="clear" w:color="auto" w:fill="auto"/>
          <w:lang w:val="ru-RU" w:eastAsia="ru-RU" w:bidi="ru-RU"/>
        </w:rPr>
        <w:t xml:space="preserve"> Общества с ограниченной ответственность «Аймед» (далее - заинтересованное лицо, ООО «Аймед»):</w:t>
      </w:r>
    </w:p>
    <w:p>
      <w:pPr>
        <w:pStyle w:val="Style11"/>
        <w:keepNext w:val="0"/>
        <w:keepLines w:val="0"/>
        <w:widowControl w:val="0"/>
        <w:shd w:val="clear" w:color="auto" w:fill="auto"/>
        <w:tabs>
          <w:tab w:pos="4127" w:val="left"/>
        </w:tabs>
        <w:bidi w:val="0"/>
        <w:spacing w:before="0" w:after="0"/>
        <w:ind w:left="0" w:right="0" w:firstLine="580"/>
        <w:jc w:val="both"/>
      </w:pPr>
      <w:r>
        <w:rPr>
          <w:color w:val="000000"/>
          <w:spacing w:val="0"/>
          <w:w w:val="100"/>
          <w:position w:val="0"/>
          <w:shd w:val="clear" w:color="auto" w:fill="auto"/>
          <w:lang w:val="ru-RU" w:eastAsia="ru-RU" w:bidi="ru-RU"/>
        </w:rPr>
        <w:t>-;</w:t>
        <w:tab/>
        <w:t>, на основании доверенности от 10.12.2022 №б/н,</w:t>
      </w:r>
    </w:p>
    <w:p>
      <w:pPr>
        <w:pStyle w:val="Style11"/>
        <w:keepNext w:val="0"/>
        <w:keepLines w:val="0"/>
        <w:widowControl w:val="0"/>
        <w:shd w:val="clear" w:color="auto" w:fill="auto"/>
        <w:bidi w:val="0"/>
        <w:spacing w:before="0" w:after="0"/>
        <w:ind w:left="0" w:right="0" w:firstLine="580"/>
        <w:jc w:val="both"/>
      </w:pPr>
      <w:r>
        <w:rPr>
          <w:i/>
          <w:iCs/>
          <w:color w:val="000000"/>
          <w:spacing w:val="0"/>
          <w:w w:val="100"/>
          <w:position w:val="0"/>
          <w:shd w:val="clear" w:color="auto" w:fill="auto"/>
          <w:lang w:val="ru-RU" w:eastAsia="ru-RU" w:bidi="ru-RU"/>
        </w:rPr>
        <w:t>в отсутствии Заявителя</w:t>
      </w:r>
      <w:r>
        <w:rPr>
          <w:color w:val="000000"/>
          <w:spacing w:val="0"/>
          <w:w w:val="100"/>
          <w:position w:val="0"/>
          <w:shd w:val="clear" w:color="auto" w:fill="auto"/>
          <w:lang w:val="ru-RU" w:eastAsia="ru-RU" w:bidi="ru-RU"/>
        </w:rPr>
        <w:t xml:space="preserve"> - Общества с ограниченной ответственностью «Медицинские технологии» (далее — Заявитель, ООО «Медицинские технологии»), уведомленного надлежащим образом о месте и времени рассмотрения жалобы,</w:t>
      </w:r>
    </w:p>
    <w:p>
      <w:pPr>
        <w:pStyle w:val="Style11"/>
        <w:keepNext w:val="0"/>
        <w:keepLines w:val="0"/>
        <w:widowControl w:val="0"/>
        <w:shd w:val="clear" w:color="auto" w:fill="auto"/>
        <w:bidi w:val="0"/>
        <w:spacing w:before="0" w:after="360"/>
        <w:ind w:left="0" w:right="0" w:firstLine="580"/>
        <w:jc w:val="both"/>
      </w:pPr>
      <w:r>
        <w:rPr>
          <w:color w:val="000000"/>
          <w:spacing w:val="0"/>
          <w:w w:val="100"/>
          <w:position w:val="0"/>
          <w:shd w:val="clear" w:color="auto" w:fill="auto"/>
          <w:lang w:val="ru-RU" w:eastAsia="ru-RU" w:bidi="ru-RU"/>
        </w:rPr>
        <w:t>рассмотрев посредством видеоконференцсвязи жалобу ООО «Медицинские технологии» на действия комиссии по осуществлению закупок при проведении электронного аукциона на поставку реагентов для гематологического анализатора ВС-3600 (извещение №0380200000123008795) (далее - Аукцион), и в результате осуществления внеплановой проверки в соответствии с пунктом 1 части 15 статьи 99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1"/>
        <w:keepNext w:val="0"/>
        <w:keepLines w:val="0"/>
        <w:widowControl w:val="0"/>
        <w:shd w:val="clear" w:color="auto" w:fill="auto"/>
        <w:bidi w:val="0"/>
        <w:spacing w:before="0" w:after="360"/>
        <w:ind w:left="0" w:right="0" w:firstLine="0"/>
        <w:jc w:val="center"/>
      </w:pPr>
      <w:r>
        <w:rPr>
          <w:b/>
          <w:bCs/>
          <w:color w:val="000000"/>
          <w:spacing w:val="0"/>
          <w:w w:val="100"/>
          <w:position w:val="0"/>
          <w:shd w:val="clear" w:color="auto" w:fill="auto"/>
          <w:lang w:val="ru-RU" w:eastAsia="ru-RU" w:bidi="ru-RU"/>
        </w:rPr>
        <w:t>УСТАНОВИЛА:</w:t>
      </w:r>
    </w:p>
    <w:p>
      <w:pPr>
        <w:pStyle w:val="Style11"/>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В Хакасское УФАС России посредством ЕИС 29.12.2023 (зарегистрирована 09.01.2024 вх. № 61/23) поступила жалоба Заявителя на действия комиссии по осуществлению закупок при проведении Аукциона.</w:t>
      </w:r>
    </w:p>
    <w:p>
      <w:pPr>
        <w:pStyle w:val="Style11"/>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 xml:space="preserve">По мнению Заявителя, его права и законные интересы нарушены действиями </w:t>
      </w:r>
      <w:r>
        <w:rPr>
          <w:color w:val="000000"/>
          <w:spacing w:val="0"/>
          <w:w w:val="100"/>
          <w:position w:val="0"/>
          <w:shd w:val="clear" w:color="auto" w:fill="auto"/>
          <w:lang w:val="ru-RU" w:eastAsia="ru-RU" w:bidi="ru-RU"/>
        </w:rPr>
        <w:t>комиссии по осуществлению закупок, которая неправомерно приняла решение о признании победителем Аукциона ООО «Аймед», поскольку им предоставлена недостоверная информация в отношении объекта закупки, а именно о совместимости предлагаемого к поставке товара с гематологическим анализатором Мшбгау ВС-3600, а также комиссия Госкомитета не идентифицировала предложенный участником товар в соответствии с Регистрационным удостоверением в составе заявки победителя.</w:t>
      </w:r>
    </w:p>
    <w:p>
      <w:pPr>
        <w:pStyle w:val="Style11"/>
        <w:keepNext w:val="0"/>
        <w:keepLines w:val="0"/>
        <w:widowControl w:val="0"/>
        <w:shd w:val="clear" w:color="auto" w:fill="auto"/>
        <w:bidi w:val="0"/>
        <w:spacing w:before="0" w:after="0"/>
        <w:ind w:left="0" w:right="0" w:firstLine="640"/>
        <w:jc w:val="both"/>
      </w:pPr>
      <w:r>
        <w:rPr>
          <w:color w:val="000000"/>
          <w:spacing w:val="0"/>
          <w:w w:val="100"/>
          <w:position w:val="0"/>
          <w:shd w:val="clear" w:color="auto" w:fill="auto"/>
          <w:lang w:val="ru-RU" w:eastAsia="ru-RU" w:bidi="ru-RU"/>
        </w:rPr>
        <w:t>До рассмотрения жалобы от Уполномоченного органа поступили письменные пояснения (вх. №176-ЭП/23 от 11.01.2023), в которых указано, что в описании объекта закупки не было использовано указание на товарный знак закупаемых расходных материалов, а указано только о необходимости совместимости закупаемых реагентов с анализатором Мшбгау ВС - 3600. Оснований для отклонения заявки ООО «Аймед» у аукционной комиссии не было, поскольку участник закупки в составе заявки указал показатели и их значения в соответствии с описанием объекта закупки, а также на предложенные реагенты были представлены регистрационные удостоверения. Кроме того, в распоряжении аукционной комиссии не было какой-либо информации о несовместимости товара, предложенного победителем аукциона, с имеющимся у Заказчика анализатором Мшбгау ВС - 3600.</w:t>
      </w:r>
    </w:p>
    <w:p>
      <w:pPr>
        <w:pStyle w:val="Style11"/>
        <w:keepNext w:val="0"/>
        <w:keepLines w:val="0"/>
        <w:widowControl w:val="0"/>
        <w:shd w:val="clear" w:color="auto" w:fill="auto"/>
        <w:bidi w:val="0"/>
        <w:spacing w:before="0" w:after="0"/>
        <w:ind w:left="0" w:right="0" w:firstLine="640"/>
        <w:jc w:val="both"/>
      </w:pPr>
      <w:r>
        <w:rPr>
          <w:color w:val="000000"/>
          <w:spacing w:val="0"/>
          <w:w w:val="100"/>
          <w:position w:val="0"/>
          <w:shd w:val="clear" w:color="auto" w:fill="auto"/>
          <w:lang w:val="ru-RU" w:eastAsia="ru-RU" w:bidi="ru-RU"/>
        </w:rPr>
        <w:t>Заказчиком также были представили в материалы дела запрашиваемые документы (вх. №177-ЭП/24 от 11.01.2024), письменные пояснения, в которых Заказчик указал в том числе следующее:</w:t>
      </w:r>
    </w:p>
    <w:p>
      <w:pPr>
        <w:pStyle w:val="Style2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руководстве оператора (автоматизированный гематологический анализатор ВС 3600), на странице 36 основных сведений об анализаторе, разделе 2.5 Реагенты, контроли и калибраторы прописано: При использовании реагентов других поставщиков анализатор может действовать не так, как указано в этом руководстве, что может привести к получению недостоверных результатов.</w:t>
      </w:r>
    </w:p>
    <w:p>
      <w:pPr>
        <w:pStyle w:val="Style22"/>
        <w:keepNext w:val="0"/>
        <w:keepLines w:val="0"/>
        <w:widowControl w:val="0"/>
        <w:shd w:val="clear" w:color="auto" w:fill="auto"/>
        <w:bidi w:val="0"/>
        <w:spacing w:before="0" w:after="0"/>
        <w:ind w:left="0" w:right="0" w:firstLine="640"/>
        <w:jc w:val="both"/>
      </w:pPr>
      <w:r>
        <w:rPr>
          <w:color w:val="000000"/>
          <w:spacing w:val="0"/>
          <w:w w:val="100"/>
          <w:position w:val="0"/>
          <w:shd w:val="clear" w:color="auto" w:fill="auto"/>
          <w:lang w:val="ru-RU" w:eastAsia="ru-RU" w:bidi="ru-RU"/>
        </w:rPr>
        <w:t>Конкретного указания на товарный знак нет, вышеуказанная формулировка не корректна.</w:t>
      </w:r>
    </w:p>
    <w:p>
      <w:pPr>
        <w:pStyle w:val="Style22"/>
        <w:keepNext w:val="0"/>
        <w:keepLines w:val="0"/>
        <w:widowControl w:val="0"/>
        <w:shd w:val="clear" w:color="auto" w:fill="auto"/>
        <w:bidi w:val="0"/>
        <w:spacing w:before="0" w:after="0"/>
        <w:ind w:left="0" w:right="0" w:firstLine="640"/>
        <w:jc w:val="both"/>
      </w:pPr>
      <w:r>
        <w:rPr>
          <w:color w:val="000000"/>
          <w:spacing w:val="0"/>
          <w:w w:val="100"/>
          <w:position w:val="0"/>
          <w:shd w:val="clear" w:color="auto" w:fill="auto"/>
          <w:lang w:val="ru-RU" w:eastAsia="ru-RU" w:bidi="ru-RU"/>
        </w:rPr>
        <w:t>В описании объекта закупки № 0380200000123008795 заказчиком, в качестве показателя товара (по всем позициям) было указано: «Совместимость с гематологическим анализатором МтВгау ВС - 3600», значение показателя: «наличие».</w:t>
      </w:r>
    </w:p>
    <w:p>
      <w:pPr>
        <w:pStyle w:val="Style22"/>
        <w:keepNext w:val="0"/>
        <w:keepLines w:val="0"/>
        <w:widowControl w:val="0"/>
        <w:shd w:val="clear" w:color="auto" w:fill="auto"/>
        <w:bidi w:val="0"/>
        <w:spacing w:before="0" w:after="0"/>
        <w:ind w:left="0" w:right="0" w:firstLine="640"/>
        <w:jc w:val="both"/>
      </w:pPr>
      <w:r>
        <w:rPr>
          <w:color w:val="000000"/>
          <w:spacing w:val="0"/>
          <w:w w:val="100"/>
          <w:position w:val="0"/>
          <w:shd w:val="clear" w:color="auto" w:fill="auto"/>
          <w:lang w:val="ru-RU" w:eastAsia="ru-RU" w:bidi="ru-RU"/>
        </w:rPr>
        <w:t>Заказчиком, посредством электронной почты, быи направлен запрос производителю реагентов «Юни-Гем» на предмет совместимости реагентов «Юни-Гем» с гематологическим анализатором ВС-3600 (производство "Шэньчжэнь Майндрэй Био- Медикал Электронике Ко., Лтд.", КНР) и получен ответ следующего содержания:</w:t>
      </w:r>
    </w:p>
    <w:p>
      <w:pPr>
        <w:pStyle w:val="Style22"/>
        <w:keepNext w:val="0"/>
        <w:keepLines w:val="0"/>
        <w:widowControl w:val="0"/>
        <w:shd w:val="clear" w:color="auto" w:fill="auto"/>
        <w:bidi w:val="0"/>
        <w:spacing w:before="0" w:after="0"/>
        <w:ind w:left="0" w:right="0" w:firstLine="640"/>
        <w:jc w:val="both"/>
      </w:pPr>
      <w:r>
        <w:rPr>
          <w:color w:val="000000"/>
          <w:spacing w:val="0"/>
          <w:w w:val="100"/>
          <w:position w:val="0"/>
          <w:shd w:val="clear" w:color="auto" w:fill="auto"/>
          <w:lang w:val="ru-RU" w:eastAsia="ru-RU" w:bidi="ru-RU"/>
        </w:rPr>
        <w:t xml:space="preserve">В ответ на Ваш запрос сообщаем, медицинское изделие «Комплект реагентов «Юни-Гем» для анализа форменных элементов крови и гемоглобина на различных гематологических анализаторах по ТУ 9398-247-45399867-2006» (далее - реагенты «Юни- Гем») зарегистрировано в установленном порядке. Регистрационное удостоверение № ФСР 2011/10980 от 10.05.2017г. В соответствии с назначением, указанным в инструкции по применению, комплект реагентов предназначен для т </w:t>
      </w:r>
      <w:r>
        <w:rPr>
          <w:smallCaps/>
          <w:color w:val="000000"/>
          <w:spacing w:val="0"/>
          <w:w w:val="100"/>
          <w:position w:val="0"/>
          <w:shd w:val="clear" w:color="auto" w:fill="auto"/>
          <w:lang w:val="ru-RU" w:eastAsia="ru-RU" w:bidi="ru-RU"/>
        </w:rPr>
        <w:t>у'Нго</w:t>
      </w:r>
      <w:r>
        <w:rPr>
          <w:color w:val="000000"/>
          <w:spacing w:val="0"/>
          <w:w w:val="100"/>
          <w:position w:val="0"/>
          <w:shd w:val="clear" w:color="auto" w:fill="auto"/>
          <w:lang w:val="ru-RU" w:eastAsia="ru-RU" w:bidi="ru-RU"/>
        </w:rPr>
        <w:t xml:space="preserve"> диагностики, а именно - обеспечения работы многопараметровых (более 8 параметров) гематологических анализаторов, использующих кондуктометрический принцип подсчета клеток крови, а также принцип определения концентрации гемоглобина по измерению оптической плотности (ОП) гемолизата, образовавшегося в результате воздействия </w:t>
      </w:r>
      <w:r>
        <w:rPr>
          <w:color w:val="000000"/>
          <w:spacing w:val="0"/>
          <w:w w:val="100"/>
          <w:position w:val="0"/>
          <w:shd w:val="clear" w:color="auto" w:fill="auto"/>
          <w:lang w:val="ru-RU" w:eastAsia="ru-RU" w:bidi="ru-RU"/>
        </w:rPr>
        <w:t>лизирующего раствора на пробу крови. Таким образом, реагенты «Юни-Гем» могут применяться для обеспечения работы гематологических анализаторов, работа которых основана на указанных въппе принципах (методах), в том числе на анализаторах МтВгау моделей ВС.</w:t>
      </w:r>
    </w:p>
    <w:p>
      <w:pPr>
        <w:pStyle w:val="Style22"/>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Так же, производитель ООО «Реамед» сообщил о своем обращении в ФАС России: Разъяснения ФАС России о взаимозаменяемостикомплекта реагентов «Юни-Гем» с иными реагентами от 10 июня 2013, 18:13 Тип документа: Разъяснения</w:t>
      </w:r>
    </w:p>
    <w:p>
      <w:pPr>
        <w:pStyle w:val="Style22"/>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Федеральная антимонопольная служба рассмотрела обращение ООО «РЕАМЕД» о применении Комплекта реагентов «Юни-Гем» для анализа форменных элементов крови и гемоглобина на различных гематологических анализаторах. В соответствии с заключением ФГБУ «ВНИИИМТ» Росздравнадзора: комплект реагентов «Юни-Гем» и реагенты для гематологических анализаторов М- 30 производства Компании МтВгау («Шэньчжэнь Майндрэй Био-Медикал Электронике Ко., Лтд.»), для гематологических анализаторов серии «ВС» являются взаимозаменяемыми.</w:t>
      </w:r>
    </w:p>
    <w:p>
      <w:pPr>
        <w:pStyle w:val="Style22"/>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Наличие регистрационного удостоверения на комплект реагентов «Юни-Гем» № ФСР 2011/10980 от 27.05.2011г. подтверждает законность использования реагентов в сфере контроля Росздравнадзора и не может привести к причинению вреда жизни, здоровью граждан и медицинских работников.</w:t>
      </w:r>
    </w:p>
    <w:p>
      <w:pPr>
        <w:pStyle w:val="Style22"/>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Никакой информации о несовместимости товара, предложенного победителем аукциона с имеюпщмсяу заказчика анализатором, не получено.</w:t>
      </w:r>
    </w:p>
    <w:p>
      <w:pPr>
        <w:pStyle w:val="Style22"/>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Таким образом, Комплект реагентов «Юни-Гем» с указанными реагентами производства Компании МтВгау формируют один товарный рынок. В связи с чем, действия заказчика по формированию документации на право поставки реагентов к указанному анализатору, требованиям которой соответствует исключительно один производитель, могут содержать признаки нарушения антимонопольного законодательства.</w:t>
      </w:r>
    </w:p>
    <w:p>
      <w:pPr>
        <w:pStyle w:val="Style22"/>
        <w:keepNext w:val="0"/>
        <w:keepLines w:val="0"/>
        <w:widowControl w:val="0"/>
        <w:shd w:val="clear" w:color="auto" w:fill="auto"/>
        <w:bidi w:val="0"/>
        <w:spacing w:before="0" w:after="300"/>
        <w:ind w:left="0" w:right="0"/>
        <w:jc w:val="both"/>
      </w:pPr>
      <w:r>
        <w:rPr>
          <w:color w:val="000000"/>
          <w:spacing w:val="0"/>
          <w:w w:val="100"/>
          <w:position w:val="0"/>
          <w:shd w:val="clear" w:color="auto" w:fill="auto"/>
          <w:lang w:val="ru-RU" w:eastAsia="ru-RU" w:bidi="ru-RU"/>
        </w:rPr>
        <w:t>Также, в соответствии с условиями Контракта, Заказчик обязан провести экспертизу поставленного товара и в случае выявления несоответствия требовать от Поставицика устранения выявленных недостатков.».</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адрес Хакасского УФАС поступили письменные пояснения от победителя аукциона ООО «Аймед» (вх. №103-ЭП/24 от 10.01.2024), в которых указано в том числе следующее:</w:t>
      </w:r>
    </w:p>
    <w:p>
      <w:pPr>
        <w:pStyle w:val="Style2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«При подаче заявки ООО «Аймед» предложен к поставке Комплект реагентов "Юни-Гем" для анализа форменных элементов крови и гемоглобина на различных гематологических анализаторах по ТУ 9398-247-45399867-2006, имеющий регистрационное удостоверение №ФСР2011/10980 от 10.05.2017г.</w:t>
      </w:r>
    </w:p>
    <w:p>
      <w:pPr>
        <w:pStyle w:val="Style2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соответствие с требованием аукционной документации нами предоставлен весь необходимый перечень документов.</w:t>
      </w:r>
    </w:p>
    <w:p>
      <w:pPr>
        <w:pStyle w:val="Style2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Дополнительно нами предоставлена исчерпывающая информация о совместимости реагентов Юни-Гем с анализатором ВС-3600.</w:t>
      </w:r>
    </w:p>
    <w:p>
      <w:pPr>
        <w:pStyle w:val="Style2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том числе и Информационное письмо ООО «Реамед» №23-024 от 08.01.2023г., в котором сообщается, что изменения в регистрационное досье и регистрационное удостоверение на комплект реагентов «Юни-Гем» № ФСР 2011/10980 от 27.05.2011г. вносили в 2015 и 2017 году. Данные изменения не были обусловлены изменением характеристик, качества, безопасности и эффективности самих реагентов.</w:t>
      </w:r>
    </w:p>
    <w:p>
      <w:pPr>
        <w:pStyle w:val="Style2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У нас также имеется отзыв от одного из клиентов, использующих реактивы Юни-Гем на анализаторе ВС-3600.</w:t>
      </w:r>
    </w:p>
    <w:p>
      <w:pPr>
        <w:pStyle w:val="Style2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Так же нами проведены исследования по контролю качества на анализаторе ВС-3600, использующего реактивы Юни-Гем, подтверждающие их совместимость.</w:t>
      </w:r>
    </w:p>
    <w:p>
      <w:pPr>
        <w:pStyle w:val="Style2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 xml:space="preserve">На протяжении более трех лет ООО «Аймед» поставляет в лечебные учреждения РФ </w:t>
      </w:r>
      <w:r>
        <w:rPr>
          <w:color w:val="000000"/>
          <w:spacing w:val="0"/>
          <w:w w:val="100"/>
          <w:position w:val="0"/>
          <w:shd w:val="clear" w:color="auto" w:fill="auto"/>
          <w:lang w:val="ru-RU" w:eastAsia="ru-RU" w:bidi="ru-RU"/>
        </w:rPr>
        <w:t>реагенты «Юни-Гем» для большинства 3 сП// анализаторов, в том числе МтЗгау ВС-3600 и имеет множество исполненных контрактов.</w:t>
      </w:r>
    </w:p>
    <w:p>
      <w:pPr>
        <w:pStyle w:val="Style22"/>
        <w:keepNext w:val="0"/>
        <w:keepLines w:val="0"/>
        <w:widowControl w:val="0"/>
        <w:shd w:val="clear" w:color="auto" w:fill="auto"/>
        <w:bidi w:val="0"/>
        <w:spacing w:before="0" w:after="320"/>
        <w:ind w:left="0" w:right="0" w:firstLine="740"/>
        <w:jc w:val="both"/>
      </w:pPr>
      <w:r>
        <w:rPr>
          <w:color w:val="000000"/>
          <w:spacing w:val="0"/>
          <w:w w:val="100"/>
          <w:position w:val="0"/>
          <w:shd w:val="clear" w:color="auto" w:fill="auto"/>
          <w:lang w:val="ru-RU" w:eastAsia="ru-RU" w:bidi="ru-RU"/>
        </w:rPr>
        <w:t>К сведению, указанный в жалобе Контроль гематологического анализатора (импедансный метод) - ВЗО, не имеет Регистрационного удостоверения в РФ, тем самым не может использоваться в сфере здравоохранения РФ, таким образом ссылаясь на Руководство оператора на анализатор МтВгау ВС-3600, контроль параметров анализатора необходимо выполнять ежедневно, но ввиду отсутствия в РФ данного контроля, эксплуатация анализатора в соответствие с инструкцией становится невозможной.».</w:t>
      </w:r>
    </w:p>
    <w:p>
      <w:pPr>
        <w:pStyle w:val="Style11"/>
        <w:keepNext w:val="0"/>
        <w:keepLines w:val="0"/>
        <w:widowControl w:val="0"/>
        <w:shd w:val="clear" w:color="auto" w:fill="auto"/>
        <w:bidi w:val="0"/>
        <w:spacing w:before="0" w:after="0"/>
        <w:ind w:left="0" w:right="0" w:firstLine="600"/>
        <w:jc w:val="both"/>
      </w:pPr>
      <w:r>
        <w:rPr>
          <w:i/>
          <w:iCs/>
          <w:color w:val="000000"/>
          <w:spacing w:val="0"/>
          <w:w w:val="100"/>
          <w:position w:val="0"/>
          <w:shd w:val="clear" w:color="auto" w:fill="auto"/>
          <w:lang w:val="ru-RU" w:eastAsia="ru-RU" w:bidi="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11"/>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В соответствии с извещением об осуществлении закупки (далее - Извещение), электронными документами к нему, протоколами, составленными при определении поставщика (подрядчика, исполнителя):</w:t>
      </w:r>
    </w:p>
    <w:p>
      <w:pPr>
        <w:pStyle w:val="Style11"/>
        <w:keepNext w:val="0"/>
        <w:keepLines w:val="0"/>
        <w:widowControl w:val="0"/>
        <w:numPr>
          <w:ilvl w:val="0"/>
          <w:numId w:val="1"/>
        </w:numPr>
        <w:shd w:val="clear" w:color="auto" w:fill="auto"/>
        <w:tabs>
          <w:tab w:pos="934" w:val="left"/>
        </w:tabs>
        <w:bidi w:val="0"/>
        <w:spacing w:before="0" w:after="0"/>
        <w:ind w:left="0" w:right="0" w:firstLine="600"/>
        <w:jc w:val="both"/>
      </w:pPr>
      <w:r>
        <w:rPr>
          <w:color w:val="000000"/>
          <w:spacing w:val="0"/>
          <w:w w:val="100"/>
          <w:position w:val="0"/>
          <w:shd w:val="clear" w:color="auto" w:fill="auto"/>
          <w:lang w:val="ru-RU" w:eastAsia="ru-RU" w:bidi="ru-RU"/>
        </w:rPr>
        <w:t>извещение об осуществлении закупки размещено в ЕИС - 13.12.2023;</w:t>
      </w:r>
    </w:p>
    <w:p>
      <w:pPr>
        <w:pStyle w:val="Style11"/>
        <w:keepNext w:val="0"/>
        <w:keepLines w:val="0"/>
        <w:widowControl w:val="0"/>
        <w:numPr>
          <w:ilvl w:val="0"/>
          <w:numId w:val="1"/>
        </w:numPr>
        <w:shd w:val="clear" w:color="auto" w:fill="auto"/>
        <w:tabs>
          <w:tab w:pos="958" w:val="left"/>
        </w:tabs>
        <w:bidi w:val="0"/>
        <w:spacing w:before="0" w:after="0"/>
        <w:ind w:left="0" w:right="0" w:firstLine="600"/>
        <w:jc w:val="both"/>
      </w:pPr>
      <w:r>
        <w:rPr>
          <w:color w:val="000000"/>
          <w:spacing w:val="0"/>
          <w:w w:val="100"/>
          <w:position w:val="0"/>
          <w:shd w:val="clear" w:color="auto" w:fill="auto"/>
          <w:lang w:val="ru-RU" w:eastAsia="ru-RU" w:bidi="ru-RU"/>
        </w:rPr>
        <w:t>начальная (максимальная) цена контракта - 356 705,23 рублей;</w:t>
      </w:r>
    </w:p>
    <w:p>
      <w:pPr>
        <w:pStyle w:val="Style11"/>
        <w:keepNext w:val="0"/>
        <w:keepLines w:val="0"/>
        <w:widowControl w:val="0"/>
        <w:numPr>
          <w:ilvl w:val="0"/>
          <w:numId w:val="1"/>
        </w:numPr>
        <w:shd w:val="clear" w:color="auto" w:fill="auto"/>
        <w:tabs>
          <w:tab w:pos="953" w:val="left"/>
        </w:tabs>
        <w:bidi w:val="0"/>
        <w:spacing w:before="0" w:after="0"/>
        <w:ind w:left="0" w:right="0" w:firstLine="600"/>
        <w:jc w:val="both"/>
      </w:pPr>
      <w:r>
        <w:rPr>
          <w:color w:val="000000"/>
          <w:spacing w:val="0"/>
          <w:w w:val="100"/>
          <w:position w:val="0"/>
          <w:shd w:val="clear" w:color="auto" w:fill="auto"/>
          <w:lang w:val="ru-RU" w:eastAsia="ru-RU" w:bidi="ru-RU"/>
        </w:rPr>
        <w:t>способ определения поставщика (подрядчика, исполнителя) - Аукцион;</w:t>
      </w:r>
    </w:p>
    <w:p>
      <w:pPr>
        <w:pStyle w:val="Style11"/>
        <w:keepNext w:val="0"/>
        <w:keepLines w:val="0"/>
        <w:widowControl w:val="0"/>
        <w:numPr>
          <w:ilvl w:val="0"/>
          <w:numId w:val="1"/>
        </w:numPr>
        <w:shd w:val="clear" w:color="auto" w:fill="auto"/>
        <w:tabs>
          <w:tab w:pos="958" w:val="left"/>
        </w:tabs>
        <w:bidi w:val="0"/>
        <w:spacing w:before="0" w:after="0"/>
        <w:ind w:left="0" w:right="0" w:firstLine="600"/>
        <w:jc w:val="both"/>
      </w:pPr>
      <w:r>
        <w:rPr>
          <w:color w:val="000000"/>
          <w:spacing w:val="0"/>
          <w:w w:val="100"/>
          <w:position w:val="0"/>
          <w:shd w:val="clear" w:color="auto" w:fill="auto"/>
          <w:lang w:val="ru-RU" w:eastAsia="ru-RU" w:bidi="ru-RU"/>
        </w:rPr>
        <w:t>дата и время окончания срока подачи заявок 21.12.2023 12:50 (МСК+4);</w:t>
      </w:r>
    </w:p>
    <w:p>
      <w:pPr>
        <w:pStyle w:val="Style11"/>
        <w:keepNext w:val="0"/>
        <w:keepLines w:val="0"/>
        <w:widowControl w:val="0"/>
        <w:numPr>
          <w:ilvl w:val="0"/>
          <w:numId w:val="1"/>
        </w:numPr>
        <w:shd w:val="clear" w:color="auto" w:fill="auto"/>
        <w:tabs>
          <w:tab w:pos="919" w:val="left"/>
        </w:tabs>
        <w:bidi w:val="0"/>
        <w:spacing w:before="0" w:after="0"/>
        <w:ind w:left="0" w:right="0" w:firstLine="600"/>
        <w:jc w:val="both"/>
      </w:pPr>
      <w:r>
        <w:rPr>
          <w:color w:val="000000"/>
          <w:spacing w:val="0"/>
          <w:w w:val="100"/>
          <w:position w:val="0"/>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21.12.2023;</w:t>
      </w:r>
    </w:p>
    <w:p>
      <w:pPr>
        <w:pStyle w:val="Style11"/>
        <w:keepNext w:val="0"/>
        <w:keepLines w:val="0"/>
        <w:widowControl w:val="0"/>
        <w:numPr>
          <w:ilvl w:val="0"/>
          <w:numId w:val="1"/>
        </w:numPr>
        <w:shd w:val="clear" w:color="auto" w:fill="auto"/>
        <w:tabs>
          <w:tab w:pos="924" w:val="left"/>
        </w:tabs>
        <w:bidi w:val="0"/>
        <w:spacing w:before="0" w:after="0"/>
        <w:ind w:left="0" w:right="0" w:firstLine="60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25.12.2023;</w:t>
      </w:r>
    </w:p>
    <w:p>
      <w:pPr>
        <w:pStyle w:val="Style11"/>
        <w:keepNext w:val="0"/>
        <w:keepLines w:val="0"/>
        <w:widowControl w:val="0"/>
        <w:numPr>
          <w:ilvl w:val="0"/>
          <w:numId w:val="1"/>
        </w:numPr>
        <w:shd w:val="clear" w:color="auto" w:fill="auto"/>
        <w:tabs>
          <w:tab w:pos="929" w:val="left"/>
        </w:tabs>
        <w:bidi w:val="0"/>
        <w:spacing w:before="0" w:after="0"/>
        <w:ind w:left="0" w:right="0" w:firstLine="600"/>
        <w:jc w:val="both"/>
      </w:pPr>
      <w:r>
        <w:rPr>
          <w:color w:val="000000"/>
          <w:spacing w:val="0"/>
          <w:w w:val="100"/>
          <w:position w:val="0"/>
          <w:shd w:val="clear" w:color="auto" w:fill="auto"/>
          <w:lang w:val="ru-RU" w:eastAsia="ru-RU" w:bidi="ru-RU"/>
        </w:rPr>
        <w:t>в соответствии с Протоколом подачи ценовых предложений от 21.12.2023 №ЦПА1 ценовые предложения подали 2 (два) участника, лучшее ценовое предложение поступило от участника с идентификационным номером заявки 115630670 (ООО «Аймед») - 353 138,00 руб. (снижение НМЦК - 1,00%);</w:t>
      </w:r>
    </w:p>
    <w:p>
      <w:pPr>
        <w:pStyle w:val="Style11"/>
        <w:keepNext w:val="0"/>
        <w:keepLines w:val="0"/>
        <w:widowControl w:val="0"/>
        <w:numPr>
          <w:ilvl w:val="0"/>
          <w:numId w:val="1"/>
        </w:numPr>
        <w:shd w:val="clear" w:color="auto" w:fill="auto"/>
        <w:tabs>
          <w:tab w:pos="1142" w:val="left"/>
        </w:tabs>
        <w:bidi w:val="0"/>
        <w:spacing w:before="0" w:after="0"/>
        <w:ind w:left="0" w:right="0" w:firstLine="600"/>
        <w:jc w:val="both"/>
      </w:pPr>
      <w:r>
        <w:rPr>
          <w:color w:val="000000"/>
          <w:spacing w:val="0"/>
          <w:w w:val="100"/>
          <w:position w:val="0"/>
          <w:shd w:val="clear" w:color="auto" w:fill="auto"/>
          <w:lang w:val="ru-RU" w:eastAsia="ru-RU" w:bidi="ru-RU"/>
        </w:rPr>
        <w:t>согласно Протокола подведения итогов определения поставщика (подрядчика, исполнителя) от 25.12.2023 №ИЭА1 победителем аукциона признан участник закупки идентификационный № 115630670 (ООО «Аймед»), с ценовым предложением 353 138,00 руб.;</w:t>
      </w:r>
    </w:p>
    <w:p>
      <w:pPr>
        <w:pStyle w:val="Style11"/>
        <w:keepNext w:val="0"/>
        <w:keepLines w:val="0"/>
        <w:widowControl w:val="0"/>
        <w:numPr>
          <w:ilvl w:val="0"/>
          <w:numId w:val="1"/>
        </w:numPr>
        <w:shd w:val="clear" w:color="auto" w:fill="auto"/>
        <w:tabs>
          <w:tab w:pos="953" w:val="left"/>
        </w:tabs>
        <w:bidi w:val="0"/>
        <w:spacing w:before="0" w:after="360"/>
        <w:ind w:left="0" w:right="0" w:firstLine="600"/>
        <w:jc w:val="both"/>
      </w:pPr>
      <w:r>
        <w:rPr>
          <w:color w:val="000000"/>
          <w:spacing w:val="0"/>
          <w:w w:val="100"/>
          <w:position w:val="0"/>
          <w:shd w:val="clear" w:color="auto" w:fill="auto"/>
          <w:lang w:val="ru-RU" w:eastAsia="ru-RU" w:bidi="ru-RU"/>
        </w:rPr>
        <w:t>на момент рассмотрения жалобы контракт не заключен.</w:t>
      </w:r>
    </w:p>
    <w:p>
      <w:pPr>
        <w:pStyle w:val="Style11"/>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 xml:space="preserve">Подпунктом а) пункта 1 части 5 статьи 49 Закона о контрактной системе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w:t>
      </w:r>
      <w:r>
        <w:rPr>
          <w:color w:val="000000"/>
          <w:spacing w:val="0"/>
          <w:w w:val="100"/>
          <w:position w:val="0"/>
          <w:shd w:val="clear" w:color="auto" w:fill="auto"/>
          <w:lang w:val="ru-RU" w:eastAsia="ru-RU" w:bidi="ru-RU"/>
        </w:rPr>
        <w:t>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настоящего Федерального закона.</w:t>
      </w:r>
    </w:p>
    <w:p>
      <w:pPr>
        <w:pStyle w:val="Style11"/>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Согласно пункту 8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pPr>
        <w:pStyle w:val="Style11"/>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силу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в том числе следующие электронные документы:</w:t>
      </w:r>
    </w:p>
    <w:p>
      <w:pPr>
        <w:pStyle w:val="Style11"/>
        <w:keepNext w:val="0"/>
        <w:keepLines w:val="0"/>
        <w:widowControl w:val="0"/>
        <w:numPr>
          <w:ilvl w:val="0"/>
          <w:numId w:val="3"/>
        </w:numPr>
        <w:shd w:val="clear" w:color="auto" w:fill="auto"/>
        <w:tabs>
          <w:tab w:pos="778" w:val="left"/>
        </w:tabs>
        <w:bidi w:val="0"/>
        <w:spacing w:before="0" w:after="0"/>
        <w:ind w:left="0" w:right="0" w:firstLine="560"/>
        <w:jc w:val="both"/>
      </w:pPr>
      <w:r>
        <w:rPr>
          <w:color w:val="000000"/>
          <w:spacing w:val="0"/>
          <w:w w:val="100"/>
          <w:position w:val="0"/>
          <w:shd w:val="clear" w:color="auto" w:fill="auto"/>
          <w:lang w:val="ru-RU" w:eastAsia="ru-RU" w:bidi="ru-RU"/>
        </w:rPr>
        <w:t>описание объекта закупки в соответствии со статьей 33 Закона о контрактной системе (пункт 1);</w:t>
      </w:r>
    </w:p>
    <w:p>
      <w:pPr>
        <w:pStyle w:val="Style11"/>
        <w:keepNext w:val="0"/>
        <w:keepLines w:val="0"/>
        <w:widowControl w:val="0"/>
        <w:numPr>
          <w:ilvl w:val="0"/>
          <w:numId w:val="3"/>
        </w:numPr>
        <w:shd w:val="clear" w:color="auto" w:fill="auto"/>
        <w:tabs>
          <w:tab w:pos="788" w:val="left"/>
        </w:tabs>
        <w:bidi w:val="0"/>
        <w:spacing w:before="0" w:after="0"/>
        <w:ind w:left="0" w:right="0" w:firstLine="560"/>
        <w:jc w:val="both"/>
      </w:pPr>
      <w:r>
        <w:rPr>
          <w:color w:val="000000"/>
          <w:spacing w:val="0"/>
          <w:w w:val="100"/>
          <w:position w:val="0"/>
          <w:shd w:val="clear" w:color="auto" w:fill="auto"/>
          <w:lang w:val="ru-RU" w:eastAsia="ru-RU" w:bidi="ru-RU"/>
        </w:rPr>
        <w:t>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 (пункт 3).</w:t>
      </w:r>
    </w:p>
    <w:p>
      <w:pPr>
        <w:pStyle w:val="Style11"/>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Согласно подпункта «в» пункта 2 части 1 статьи 43 Закона о контрактной системе заявка на участие в закупке должна содержать в том числе: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w:t>
      </w:r>
    </w:p>
    <w:p>
      <w:pPr>
        <w:pStyle w:val="Style11"/>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xml:space="preserve">Согласно части 1 статьи 38 Федерального закона от 21.11.2011 № 323-ФЗ «Об основах охраны здоровья граждан в Российской Федерации» (далее - Закон об основах охраны здоровья граждан в Российской Федерации)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w:t>
      </w:r>
      <w:r>
        <w:rPr>
          <w:color w:val="000000"/>
          <w:spacing w:val="0"/>
          <w:w w:val="100"/>
          <w:position w:val="0"/>
          <w:shd w:val="clear" w:color="auto" w:fill="auto"/>
          <w:lang w:val="ru-RU" w:eastAsia="ru-RU" w:bidi="ru-RU"/>
        </w:rPr>
        <w:t>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pPr>
        <w:pStyle w:val="Style11"/>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Частью 3 статьи 38 Закона об основах охраны здоровья граждан в Российской Федерации установлено, что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Требования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pPr>
        <w:pStyle w:val="Style11"/>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xml:space="preserve">В соответствии с частью 4 статьи 38 Закона об основах охраны здоровья граждан в Российской Федерации,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законом от 31 июля 2020 года № 258- ФЗ «Об экспериментальных правовых режимах в сфере цифровых инноваций в Российской Федерации», с учетом требований, установленных правом Евразийского </w:t>
      </w:r>
      <w:r>
        <w:rPr>
          <w:color w:val="000000"/>
          <w:spacing w:val="0"/>
          <w:w w:val="100"/>
          <w:position w:val="0"/>
          <w:shd w:val="clear" w:color="auto" w:fill="auto"/>
          <w:lang w:val="ru-RU" w:eastAsia="ru-RU" w:bidi="ru-RU"/>
        </w:rPr>
        <w:t>экономического союза.</w:t>
      </w:r>
    </w:p>
    <w:p>
      <w:pPr>
        <w:pStyle w:val="Style11"/>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Постановлением Правительства Российской Федерации от 27.12.2012г. № 1416 утверждены Правила государственной регистрации медицинских изделий.</w:t>
      </w:r>
    </w:p>
    <w:p>
      <w:pPr>
        <w:pStyle w:val="Style11"/>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Согласно пункту 2 Правил государственной регистрации медицинских изделий, утвержденных Постановлением Правительства Российской Федерации от 27.12.2012г. № 1416 (далее - Правила),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(далее - медицинские изделия).</w:t>
      </w:r>
    </w:p>
    <w:p>
      <w:pPr>
        <w:pStyle w:val="Style11"/>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Пунктом 6 указанных Правил урегулировано, что единственным документом, подтверждающим факт государственной регистрации медицинского изделия, является регистрационное удостоверение на медицинское изделие (далее - регистрационное удостоверение). Форма регистрационного удостоверения утверждается регистрирующим органом - Федеральной службой по надзору в сфере здравоохранения (Росздравнадзор).</w:t>
      </w:r>
    </w:p>
    <w:p>
      <w:pPr>
        <w:pStyle w:val="Style11"/>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Объектом рассматриваемой закупки является поставка реагентов для гематологического анализатора ВС-3600, в описании объекта закупки по позициям: «Подсчет клеток крови ИВД, реагент», «Буферный промывающий раствор ИВД, автоматические/полуавтоматические системы», «Моющий/чистящий раствор ИВД, для автоматизированных или полуавтоматизированных систем», «Подсчет клеток крови ИВД, контрольный материал», указана в том числе следующая характеристика:</w:t>
      </w:r>
    </w:p>
    <w:p>
      <w:pPr>
        <w:pStyle w:val="Style11"/>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«Совместимость с гематологическим анализатором ММгау ВС-3600 - наличие (Значение характеристики не может изменяться участником закупки)».</w:t>
      </w:r>
    </w:p>
    <w:p>
      <w:pPr>
        <w:pStyle w:val="Style11"/>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Подпунктом 3 пункта 2 Требований к содержанию, составу заявки на участие в закупке в соответствии с Федеральным законом от 05.04.2013 № 44-ФЗ установлено, что предложение участника закупки в отношении описания объекта закупки должно содержать:</w:t>
      </w:r>
    </w:p>
    <w:p>
      <w:pPr>
        <w:pStyle w:val="Style11"/>
        <w:keepNext w:val="0"/>
        <w:keepLines w:val="0"/>
        <w:widowControl w:val="0"/>
        <w:shd w:val="clear" w:color="auto" w:fill="auto"/>
        <w:bidi w:val="0"/>
        <w:spacing w:before="0" w:after="380"/>
        <w:ind w:left="0" w:right="0" w:firstLine="560"/>
        <w:jc w:val="both"/>
      </w:pPr>
      <w:r>
        <w:rPr>
          <w:i/>
          <w:iCs/>
          <w:color w:val="000000"/>
          <w:spacing w:val="0"/>
          <w:w w:val="100"/>
          <w:position w:val="0"/>
          <w:shd w:val="clear" w:color="auto" w:fill="auto"/>
          <w:lang w:val="ru-RU" w:eastAsia="ru-RU" w:bidi="ru-RU"/>
        </w:rPr>
        <w:t xml:space="preserve">«3) документы, подтверждающие соответствие товара, работы или услуги </w:t>
      </w:r>
      <w:r>
        <w:rPr>
          <w:i/>
          <w:iCs/>
          <w:color w:val="000000"/>
          <w:spacing w:val="0"/>
          <w:w w:val="100"/>
          <w:position w:val="0"/>
          <w:shd w:val="clear" w:color="auto" w:fill="auto"/>
          <w:lang w:val="ru-RU" w:eastAsia="ru-RU" w:bidi="ru-RU"/>
        </w:rPr>
        <w:t>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Федеральным законом от 05.04.2013 № 44-ФЗ предусмотрена документация о закупке): Наличие регистрационного удостоверения.».</w:t>
      </w:r>
    </w:p>
    <w:p>
      <w:pPr>
        <w:pStyle w:val="Style11"/>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 xml:space="preserve">Согласно полученных от оператора электронной площадки заявок участников электронного аукциона, Комиссия Хакасского УФАС России установила, что в своей заявке победитель Аукциона (ООО «Аймед») предлагает к поставке соответствующие потребности Заказчика реагенты, в том числе указывая по позициям 1-4 описания объекта закупки о </w:t>
      </w:r>
      <w:r>
        <w:rPr>
          <w:i/>
          <w:iCs/>
          <w:color w:val="000000"/>
          <w:spacing w:val="0"/>
          <w:w w:val="100"/>
          <w:position w:val="0"/>
          <w:shd w:val="clear" w:color="auto" w:fill="auto"/>
          <w:lang w:val="ru-RU" w:eastAsia="ru-RU" w:bidi="ru-RU"/>
        </w:rPr>
        <w:t>совместимости с гематологическим анализатором ММгау ВС - 3600.</w:t>
      </w:r>
    </w:p>
    <w:p>
      <w:pPr>
        <w:pStyle w:val="Style11"/>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Кроме того, в соответствии с требованиями извещения об Аукционе в составе заявки победителя Аукциона (ООО «Аймед») представлены копии регистрационных удостоверений на предлагаемые к поставке медицинские изделия:</w:t>
      </w:r>
    </w:p>
    <w:p>
      <w:pPr>
        <w:pStyle w:val="Style11"/>
        <w:keepNext w:val="0"/>
        <w:keepLines w:val="0"/>
        <w:widowControl w:val="0"/>
        <w:numPr>
          <w:ilvl w:val="0"/>
          <w:numId w:val="5"/>
        </w:numPr>
        <w:shd w:val="clear" w:color="auto" w:fill="auto"/>
        <w:tabs>
          <w:tab w:pos="788" w:val="left"/>
        </w:tabs>
        <w:bidi w:val="0"/>
        <w:spacing w:before="0" w:after="0"/>
        <w:ind w:left="0" w:right="0" w:firstLine="580"/>
        <w:jc w:val="both"/>
      </w:pPr>
      <w:r>
        <w:rPr>
          <w:color w:val="000000"/>
          <w:spacing w:val="0"/>
          <w:w w:val="100"/>
          <w:position w:val="0"/>
          <w:shd w:val="clear" w:color="auto" w:fill="auto"/>
          <w:lang w:val="ru-RU" w:eastAsia="ru-RU" w:bidi="ru-RU"/>
        </w:rPr>
        <w:t>Регистрационное удостоверение №РНЗ 2020/12908 от 11.12.2020 на комплект реагентов «Юни-Гем» для форменных элементов крови и гемоглобина на различных гематологических анализаторах;</w:t>
      </w:r>
    </w:p>
    <w:p>
      <w:pPr>
        <w:pStyle w:val="Style11"/>
        <w:keepNext w:val="0"/>
        <w:keepLines w:val="0"/>
        <w:widowControl w:val="0"/>
        <w:numPr>
          <w:ilvl w:val="0"/>
          <w:numId w:val="5"/>
        </w:numPr>
        <w:shd w:val="clear" w:color="auto" w:fill="auto"/>
        <w:tabs>
          <w:tab w:pos="783" w:val="left"/>
        </w:tabs>
        <w:bidi w:val="0"/>
        <w:spacing w:before="0" w:after="0"/>
        <w:ind w:left="0" w:right="0" w:firstLine="580"/>
        <w:jc w:val="both"/>
      </w:pPr>
      <w:r>
        <w:rPr>
          <w:color w:val="000000"/>
          <w:spacing w:val="0"/>
          <w:w w:val="100"/>
          <w:position w:val="0"/>
          <w:shd w:val="clear" w:color="auto" w:fill="auto"/>
          <w:lang w:val="ru-RU" w:eastAsia="ru-RU" w:bidi="ru-RU"/>
        </w:rPr>
        <w:t>Регистрационное удостоверение №ФСР 2011/10980 от 10.05.2017 на гематологический контроль «ГематролЗО» для контроля качества проведения общего анализа крови.</w:t>
      </w:r>
    </w:p>
    <w:p>
      <w:pPr>
        <w:pStyle w:val="Style11"/>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Также в составе заявки ООО «Аймед» содержатся следующие документы:</w:t>
      </w:r>
    </w:p>
    <w:p>
      <w:pPr>
        <w:pStyle w:val="Style11"/>
        <w:keepNext w:val="0"/>
        <w:keepLines w:val="0"/>
        <w:widowControl w:val="0"/>
        <w:numPr>
          <w:ilvl w:val="0"/>
          <w:numId w:val="5"/>
        </w:numPr>
        <w:shd w:val="clear" w:color="auto" w:fill="auto"/>
        <w:tabs>
          <w:tab w:pos="788" w:val="left"/>
        </w:tabs>
        <w:bidi w:val="0"/>
        <w:spacing w:before="0" w:after="0"/>
        <w:ind w:left="0" w:right="0" w:firstLine="580"/>
        <w:jc w:val="both"/>
      </w:pPr>
      <w:r>
        <w:rPr>
          <w:color w:val="000000"/>
          <w:spacing w:val="0"/>
          <w:w w:val="100"/>
          <w:position w:val="0"/>
          <w:shd w:val="clear" w:color="auto" w:fill="auto"/>
          <w:lang w:val="ru-RU" w:eastAsia="ru-RU" w:bidi="ru-RU"/>
        </w:rPr>
        <w:t>информационное письмо о взаимозаменяемости комплекта реагентов «Юни- Гем» с иными реагентами;</w:t>
      </w:r>
    </w:p>
    <w:p>
      <w:pPr>
        <w:pStyle w:val="Style11"/>
        <w:keepNext w:val="0"/>
        <w:keepLines w:val="0"/>
        <w:widowControl w:val="0"/>
        <w:numPr>
          <w:ilvl w:val="0"/>
          <w:numId w:val="5"/>
        </w:numPr>
        <w:shd w:val="clear" w:color="auto" w:fill="auto"/>
        <w:tabs>
          <w:tab w:pos="788" w:val="left"/>
        </w:tabs>
        <w:bidi w:val="0"/>
        <w:spacing w:before="0" w:after="0"/>
        <w:ind w:left="0" w:right="0" w:firstLine="580"/>
        <w:jc w:val="both"/>
      </w:pPr>
      <w:r>
        <w:rPr>
          <w:color w:val="000000"/>
          <w:spacing w:val="0"/>
          <w:w w:val="100"/>
          <w:position w:val="0"/>
          <w:shd w:val="clear" w:color="auto" w:fill="auto"/>
          <w:lang w:val="ru-RU" w:eastAsia="ru-RU" w:bidi="ru-RU"/>
        </w:rPr>
        <w:t>разъяснения ФАС России о взаимозаменяемости комплекта реагентов «Юни- Гем» с иными реагентами №б/н от 10.06.2013;</w:t>
      </w:r>
    </w:p>
    <w:p>
      <w:pPr>
        <w:pStyle w:val="Style11"/>
        <w:keepNext w:val="0"/>
        <w:keepLines w:val="0"/>
        <w:widowControl w:val="0"/>
        <w:numPr>
          <w:ilvl w:val="0"/>
          <w:numId w:val="5"/>
        </w:numPr>
        <w:shd w:val="clear" w:color="auto" w:fill="auto"/>
        <w:tabs>
          <w:tab w:pos="778" w:val="left"/>
        </w:tabs>
        <w:bidi w:val="0"/>
        <w:spacing w:before="0" w:after="0"/>
        <w:ind w:left="0" w:right="0" w:firstLine="580"/>
        <w:jc w:val="both"/>
      </w:pPr>
      <w:r>
        <w:rPr>
          <w:color w:val="000000"/>
          <w:spacing w:val="0"/>
          <w:w w:val="100"/>
          <w:position w:val="0"/>
          <w:shd w:val="clear" w:color="auto" w:fill="auto"/>
          <w:lang w:val="ru-RU" w:eastAsia="ru-RU" w:bidi="ru-RU"/>
        </w:rPr>
        <w:t>информационное письмо от производителя комплекса реагентов «Юни-Гем» - ООО «Реамед» №23-100 от 30.05.2023;</w:t>
      </w:r>
    </w:p>
    <w:p>
      <w:pPr>
        <w:pStyle w:val="Style11"/>
        <w:keepNext w:val="0"/>
        <w:keepLines w:val="0"/>
        <w:widowControl w:val="0"/>
        <w:numPr>
          <w:ilvl w:val="0"/>
          <w:numId w:val="5"/>
        </w:numPr>
        <w:shd w:val="clear" w:color="auto" w:fill="auto"/>
        <w:tabs>
          <w:tab w:pos="778" w:val="left"/>
        </w:tabs>
        <w:bidi w:val="0"/>
        <w:spacing w:before="0" w:after="0"/>
        <w:ind w:left="0" w:right="0" w:firstLine="580"/>
        <w:jc w:val="both"/>
      </w:pPr>
      <w:r>
        <w:rPr>
          <w:color w:val="000000"/>
          <w:spacing w:val="0"/>
          <w:w w:val="100"/>
          <w:position w:val="0"/>
          <w:shd w:val="clear" w:color="auto" w:fill="auto"/>
          <w:lang w:val="ru-RU" w:eastAsia="ru-RU" w:bidi="ru-RU"/>
        </w:rPr>
        <w:t>информационное письмо от производителя комплекса реагентов «Юни-Гем» - ООО «Реамед» №23-024 от 08.01.2023.</w:t>
      </w:r>
    </w:p>
    <w:p>
      <w:pPr>
        <w:pStyle w:val="Style11"/>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Таким образом, победитель Аукциона в соответствии с требованиями извещения об Аукционе предложил товар, с указанием соответствующих описанию объекта закупки характеристик и с приложением копий регистрационных удостоверений на медицинские изделия, заявленные к поставке.</w:t>
      </w:r>
    </w:p>
    <w:p>
      <w:pPr>
        <w:pStyle w:val="Style11"/>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 xml:space="preserve">Комиссия Хакасского УФАС России, изучив информацию и документы, представленные ООО «Аймед» в составе заявки, в том числе разъяснения ФАС России о взаимозаменяемости комплекта реагентов «Юни-Гем» с иными реагентами, </w:t>
      </w:r>
      <w:r>
        <w:rPr>
          <w:color w:val="000000"/>
          <w:spacing w:val="0"/>
          <w:w w:val="100"/>
          <w:position w:val="0"/>
          <w:shd w:val="clear" w:color="auto" w:fill="auto"/>
          <w:lang w:val="ru-RU" w:eastAsia="ru-RU" w:bidi="ru-RU"/>
        </w:rPr>
        <w:t>установила, что данные разъяснения размещены на официальном сайте ФАС России и подлежат применению по настоящее время, то есть комплект реагентов «Юни-Гем» и реагенты для гематологических анализаторов М-30 производства Компании Мшбгау ("Шэньчжэнь Майндрэй Био-Медикал Электронике Ко., Лтд.") для гематологических анализаторов серии «ВС» являются взаимозаменяемыми, согласно заключения ФГБУ «ВНИИИМТ» Росздравнадзора.</w:t>
      </w:r>
    </w:p>
    <w:p>
      <w:pPr>
        <w:pStyle w:val="Style11"/>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Комиссия Хакасского УФАС России также учитывает информационное письмо ООО «РЕАМЕД» №23-024 от 08.0Е2023, согласно которого изменения в регистрационное досье и регистрационное удостоверение на комплект реагентов «Юни-Гем» № ФСР 2011/10980 от 27.05.2011 г., вносимые в ранее действовавшие регистрационные удостоверения, не были обусловлены изменением характеристик, качества, безопасности и эффективности самих реагентов, а носили лишь формальный характер.</w:t>
      </w:r>
    </w:p>
    <w:p>
      <w:pPr>
        <w:pStyle w:val="Style11"/>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Комиссией Хакасского УФАС России также принято во внимание письмо ООО «Реамед» №23-100 от 30.05.2023, в соответствии с которым реагенты «Юни-Гем» могут применяться для обеспечения работы гематологических анализаторов, работа которых основана на обеспечении работы многопараметровых (более 8 параметров) гематологических анализаторов, использующих кондуктометрический принцип подсчета клеток крови, в том числе на анализаторах Мшбгау серии ВС.</w:t>
      </w:r>
    </w:p>
    <w:p>
      <w:pPr>
        <w:pStyle w:val="Style11"/>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Кроме того, Хакасским УФАС России в адрес производителя реагентов «Юни- Гем» ООО «РЕАМЕД» был направлен запрос (исх. №0111/149/24 от 11.01.2024) о предоставлении информации о возможности применения реагентов «Юни-Гем» для обеспечения работы гематологического анализатора Мшбгау ОС-3600.</w:t>
      </w:r>
    </w:p>
    <w:p>
      <w:pPr>
        <w:pStyle w:val="Style11"/>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От ООО «РЕАМЕД» в адрес Хакасского УФАС России направлен ответ (исх. №24-005 от 11.01.2024/вх. №197-ЭП/24 от 12.01.2024), в котором указано в том числе следующее:</w:t>
      </w:r>
    </w:p>
    <w:p>
      <w:pPr>
        <w:pStyle w:val="Style22"/>
        <w:keepNext w:val="0"/>
        <w:keepLines w:val="0"/>
        <w:widowControl w:val="0"/>
        <w:shd w:val="clear" w:color="auto" w:fill="auto"/>
        <w:bidi w:val="0"/>
        <w:spacing w:before="0" w:after="0" w:line="300" w:lineRule="auto"/>
        <w:ind w:left="0" w:right="0" w:firstLine="580"/>
        <w:jc w:val="both"/>
      </w:pPr>
      <w:r>
        <w:rPr>
          <w:color w:val="000000"/>
          <w:spacing w:val="0"/>
          <w:w w:val="100"/>
          <w:position w:val="0"/>
          <w:shd w:val="clear" w:color="auto" w:fill="auto"/>
          <w:lang w:val="ru-RU" w:eastAsia="ru-RU" w:bidi="ru-RU"/>
        </w:rPr>
        <w:t>«Назначение реагентов «Юни-Гем» прямо указано в пунктах 1 и 2 Инструкции - для обеспечения работы многопараметровых (более 8 параметров) гематологических анализаторов, использующих кондуктометрический метод подсчета клеток крови (он же - метод электрического сопротивления), а также фотометрический (он же - колориметрический) принцип определения гемоглобина в гемолизате, образовавшегося в результате воздействия лизирующего раствора». Актуальная версия инструкции на реагенты «Юни-Гем» находится в свободном доступе в Госреестре медизделий на официальном сайте Росздравнадзора (кИря:/ го\2с1га\'пасЬог</w:t>
      </w:r>
      <w:r>
        <w:rPr>
          <w:color w:val="000000"/>
          <w:spacing w:val="0"/>
          <w:w w:val="100"/>
          <w:position w:val="0"/>
          <w:shd w:val="clear" w:color="auto" w:fill="auto"/>
          <w:vertAlign w:val="superscript"/>
          <w:lang w:val="ru-RU" w:eastAsia="ru-RU" w:bidi="ru-RU"/>
        </w:rPr>
        <w:t>(</w:t>
      </w:r>
      <w:r>
        <w:rPr>
          <w:color w:val="000000"/>
          <w:spacing w:val="0"/>
          <w:w w:val="100"/>
          <w:position w:val="0"/>
          <w:shd w:val="clear" w:color="auto" w:fill="auto"/>
          <w:lang w:val="ru-RU" w:eastAsia="ru-RU" w:bidi="ru-RU"/>
        </w:rPr>
        <w:t>уо\'.ги Аепчсе&amp;пшеагсИ). В связи с вышесказанным реагенты «Юни-Гем» в соответствии с их прямым предназначением обеспечивают надлежащее качество исследований, не могут причинить вред ни анализатору, ни обслуживающему персоналу при использовании по назначению согласно инструкции по применению реагентов.</w:t>
      </w:r>
    </w:p>
    <w:p>
      <w:pPr>
        <w:pStyle w:val="Style22"/>
        <w:keepNext w:val="0"/>
        <w:keepLines w:val="0"/>
        <w:widowControl w:val="0"/>
        <w:shd w:val="clear" w:color="auto" w:fill="auto"/>
        <w:bidi w:val="0"/>
        <w:spacing w:before="0" w:after="0" w:line="300" w:lineRule="auto"/>
        <w:ind w:left="0" w:right="0" w:firstLine="580"/>
        <w:jc w:val="both"/>
      </w:pPr>
      <w:r>
        <w:rPr>
          <w:color w:val="000000"/>
          <w:spacing w:val="0"/>
          <w:w w:val="100"/>
          <w:position w:val="0"/>
          <w:shd w:val="clear" w:color="auto" w:fill="auto"/>
          <w:lang w:val="ru-RU" w:eastAsia="ru-RU" w:bidi="ru-RU"/>
        </w:rPr>
        <w:t xml:space="preserve">В соответствии с Руководством оператора к гематологическому анализатору МтВгау ВС 3600 (РУ ФСЗ 2012/12468), этот анализатор позволяет определить 21 параметр крови, </w:t>
      </w:r>
      <w:r>
        <w:rPr>
          <w:color w:val="000000"/>
          <w:spacing w:val="0"/>
          <w:w w:val="100"/>
          <w:position w:val="0"/>
          <w:shd w:val="clear" w:color="auto" w:fill="auto"/>
          <w:lang w:val="ru-RU" w:eastAsia="ru-RU" w:bidi="ru-RU"/>
        </w:rPr>
        <w:t>особенностей применения не имеет, принцип его работы основан также на импедансном и колориметрическом методах.</w:t>
      </w:r>
    </w:p>
    <w:p>
      <w:pPr>
        <w:pStyle w:val="Style22"/>
        <w:keepNext w:val="0"/>
        <w:keepLines w:val="0"/>
        <w:widowControl w:val="0"/>
        <w:shd w:val="clear" w:color="auto" w:fill="auto"/>
        <w:bidi w:val="0"/>
        <w:spacing w:before="0" w:after="360" w:line="300" w:lineRule="auto"/>
        <w:ind w:left="0" w:right="0" w:firstLine="600"/>
        <w:jc w:val="both"/>
      </w:pPr>
      <w:r>
        <w:rPr>
          <w:color w:val="000000"/>
          <w:spacing w:val="0"/>
          <w:w w:val="100"/>
          <w:position w:val="0"/>
          <w:shd w:val="clear" w:color="auto" w:fill="auto"/>
          <w:lang w:val="ru-RU" w:eastAsia="ru-RU" w:bidi="ru-RU"/>
        </w:rPr>
        <w:t>Таким образом, гематологический анализатор МтВгау ВС-3600 с учетом его принципа работы подпадает под описание гематологических анализаторов, для которых предназначены реагенты «Юни-Гем», они могут применяться для обеспечения работы с надлежащим качеством исследований.».</w:t>
      </w:r>
    </w:p>
    <w:p>
      <w:pPr>
        <w:pStyle w:val="Style11"/>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Хакасское УФАС России отмечает, что Заказчик в описании объекта закупки не установил товарный знак, следовательно, его потребности соответствуют не только оригинальные расходные материалы, но и товары, произведенные иными производителями, совместимые с имеющимся у Заказчика анализатором.</w:t>
      </w:r>
    </w:p>
    <w:p>
      <w:pPr>
        <w:pStyle w:val="Style11"/>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Относительно довода Заявителя о том, что руководством оператора к гематологическому анализатору М1пс1гау ВС-3600 предусмотрено использование исключительно реагентов производства Мтбгау, Комиссия отмечает следующее.</w:t>
      </w:r>
    </w:p>
    <w:p>
      <w:pPr>
        <w:pStyle w:val="Style11"/>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В пункте 2.5 Руководства оператора к гематологическому анализатору Мтбгау ВС-3600 дословно указано следующее:</w:t>
      </w:r>
    </w:p>
    <w:p>
      <w:pPr>
        <w:pStyle w:val="Style22"/>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 xml:space="preserve">«Поскольку анализатор, реагенты (разбавитель, ополаскиватель, лизирующие реагенты, очиститель зонда), контроли и калибраторы являются компонентами системы, работа системы зависит от состояния всех компонентов в целом. Необходимо использовать только реагенты, указанные компанией (см. Приложение Б, Характеристики), разработанные специально для жидкостной системы этого анализатора. Запрещается использовать в этом анализаторе реагенты </w:t>
      </w:r>
      <w:r>
        <w:rPr>
          <w:color w:val="000000"/>
          <w:spacing w:val="0"/>
          <w:w w:val="100"/>
          <w:position w:val="0"/>
          <w:u w:val="single"/>
          <w:shd w:val="clear" w:color="auto" w:fill="auto"/>
          <w:lang w:val="ru-RU" w:eastAsia="ru-RU" w:bidi="ru-RU"/>
        </w:rPr>
        <w:t>других поставщиков</w:t>
      </w:r>
      <w:r>
        <w:rPr>
          <w:color w:val="000000"/>
          <w:spacing w:val="0"/>
          <w:w w:val="100"/>
          <w:position w:val="0"/>
          <w:shd w:val="clear" w:color="auto" w:fill="auto"/>
          <w:lang w:val="ru-RU" w:eastAsia="ru-RU" w:bidi="ru-RU"/>
        </w:rPr>
        <w:t xml:space="preserve">. При использовании реагентов других поставщиков анализатор </w:t>
      </w:r>
      <w:r>
        <w:rPr>
          <w:color w:val="000000"/>
          <w:spacing w:val="0"/>
          <w:w w:val="100"/>
          <w:position w:val="0"/>
          <w:u w:val="single"/>
          <w:shd w:val="clear" w:color="auto" w:fill="auto"/>
          <w:lang w:val="ru-RU" w:eastAsia="ru-RU" w:bidi="ru-RU"/>
        </w:rPr>
        <w:t>может действовать не так, как указано в этом руководстве,</w:t>
      </w:r>
      <w:r>
        <w:rPr>
          <w:color w:val="000000"/>
          <w:spacing w:val="0"/>
          <w:w w:val="100"/>
          <w:position w:val="0"/>
          <w:shd w:val="clear" w:color="auto" w:fill="auto"/>
          <w:lang w:val="ru-RU" w:eastAsia="ru-RU" w:bidi="ru-RU"/>
        </w:rPr>
        <w:t xml:space="preserve"> что может привести к получению недостоверных результатов. Все реагенты, упоминаемые в этом руководстве, являются реагентами, разработанным специально для этого анализатора.».</w:t>
      </w:r>
    </w:p>
    <w:p>
      <w:pPr>
        <w:pStyle w:val="Style11"/>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Таким образом, производитель Мтбгау указывает, что в случае использования реагентов других поставщиков, характеристики анализатора могут не соответствовать указанным в Руководстве оператора к гематологическому анализатору Мтбгау ВС- 3600.</w:t>
      </w:r>
    </w:p>
    <w:p>
      <w:pPr>
        <w:pStyle w:val="Style11"/>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В свою очередь, проанализировав заявку Заявителя на участие в аукционе, комиссией Хакасского УФАС России установлено, что на предлагаемые к поставке реагенты ООО «Медицинские технологии» представлены копии следующих регистрационных удостоверений:</w:t>
      </w:r>
    </w:p>
    <w:p>
      <w:pPr>
        <w:pStyle w:val="Style11"/>
        <w:keepNext w:val="0"/>
        <w:keepLines w:val="0"/>
        <w:widowControl w:val="0"/>
        <w:numPr>
          <w:ilvl w:val="0"/>
          <w:numId w:val="7"/>
        </w:numPr>
        <w:shd w:val="clear" w:color="auto" w:fill="auto"/>
        <w:tabs>
          <w:tab w:pos="783" w:val="left"/>
        </w:tabs>
        <w:bidi w:val="0"/>
        <w:spacing w:before="0" w:after="0"/>
        <w:ind w:left="0" w:right="0" w:firstLine="600"/>
        <w:jc w:val="both"/>
      </w:pPr>
      <w:r>
        <w:rPr>
          <w:color w:val="000000"/>
          <w:spacing w:val="0"/>
          <w:w w:val="100"/>
          <w:position w:val="0"/>
          <w:shd w:val="clear" w:color="auto" w:fill="auto"/>
          <w:lang w:val="ru-RU" w:eastAsia="ru-RU" w:bidi="ru-RU"/>
        </w:rPr>
        <w:t>Регистрационное удостоверение №ФСЗ 2012/11705 от 21.11.2023 на реагенты для гематологических анализаторов М-18, М-23, М-30, М-68 (производитель: «Шэньчжэнь Майндрэй Био-Медикал Электронике Ко., Лтд.» КНР);</w:t>
      </w:r>
    </w:p>
    <w:p>
      <w:pPr>
        <w:pStyle w:val="Style11"/>
        <w:keepNext w:val="0"/>
        <w:keepLines w:val="0"/>
        <w:widowControl w:val="0"/>
        <w:numPr>
          <w:ilvl w:val="0"/>
          <w:numId w:val="7"/>
        </w:numPr>
        <w:shd w:val="clear" w:color="auto" w:fill="auto"/>
        <w:tabs>
          <w:tab w:pos="783" w:val="left"/>
        </w:tabs>
        <w:bidi w:val="0"/>
        <w:spacing w:before="0" w:after="0"/>
        <w:ind w:left="0" w:right="0" w:firstLine="600"/>
        <w:jc w:val="both"/>
      </w:pPr>
      <w:r>
        <w:rPr>
          <w:color w:val="000000"/>
          <w:spacing w:val="0"/>
          <w:w w:val="100"/>
          <w:position w:val="0"/>
          <w:shd w:val="clear" w:color="auto" w:fill="auto"/>
          <w:lang w:val="ru-RU" w:eastAsia="ru-RU" w:bidi="ru-RU"/>
        </w:rPr>
        <w:t>Регистрационное удостоверение №ФСЗ 2011/09524 от 25.07.2012 на реагенты для гематологических анализаторов (производитель: «Стрейк, Инк.» США).</w:t>
      </w:r>
    </w:p>
    <w:p>
      <w:pPr>
        <w:pStyle w:val="Style11"/>
        <w:keepNext w:val="0"/>
        <w:keepLines w:val="0"/>
        <w:widowControl w:val="0"/>
        <w:shd w:val="clear" w:color="auto" w:fill="auto"/>
        <w:bidi w:val="0"/>
        <w:spacing w:before="0" w:after="180"/>
        <w:ind w:left="0" w:right="0" w:firstLine="600"/>
        <w:jc w:val="both"/>
      </w:pPr>
      <w:r>
        <w:rPr>
          <w:color w:val="000000"/>
          <w:spacing w:val="0"/>
          <w:w w:val="100"/>
          <w:position w:val="0"/>
          <w:shd w:val="clear" w:color="auto" w:fill="auto"/>
          <w:lang w:val="ru-RU" w:eastAsia="ru-RU" w:bidi="ru-RU"/>
        </w:rPr>
        <w:t>Таким образом, помимо реагентов производителя Мтбгау (Китай), Заявитель предлагает к поставке реагенты (Рага 12 - Ех1еб -Б, Рага 12 - Ех1еб -Н, Рага 12 - Ех1еб</w:t>
      </w:r>
    </w:p>
    <w:p>
      <w:pPr>
        <w:pStyle w:val="Style11"/>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-И) производителя 81геск, 1пс. (США), что, в свою очередь, противоречит позиции самого Заявителя о невозможности применения иных производителей/поставщиков, помимо Мшбгау (Китай).</w:t>
      </w:r>
    </w:p>
    <w:p>
      <w:pPr>
        <w:pStyle w:val="Style11"/>
        <w:keepNext w:val="0"/>
        <w:keepLines w:val="0"/>
        <w:widowControl w:val="0"/>
        <w:shd w:val="clear" w:color="auto" w:fill="auto"/>
        <w:tabs>
          <w:tab w:pos="3758" w:val="left"/>
          <w:tab w:pos="7512" w:val="left"/>
        </w:tabs>
        <w:bidi w:val="0"/>
        <w:spacing w:before="0" w:after="0"/>
        <w:ind w:left="0" w:right="0" w:firstLine="560"/>
        <w:jc w:val="both"/>
      </w:pPr>
      <w:r>
        <w:rPr>
          <w:color w:val="000000"/>
          <w:spacing w:val="0"/>
          <w:w w:val="100"/>
          <w:position w:val="0"/>
          <w:shd w:val="clear" w:color="auto" w:fill="auto"/>
          <w:lang w:val="ru-RU" w:eastAsia="ru-RU" w:bidi="ru-RU"/>
        </w:rPr>
        <w:t>Вместе с тем, согласно письменных пояснений победителя аукциона, ООО «Аймед» указал на наличие положительного опыта использования комплектов «Юни- Гем» на гематологическом анализаторе Мшбгау ВС (реестровые номера контрактов: 2380310109723000389,</w:t>
        <w:tab/>
        <w:t>2572000431123000153,</w:t>
        <w:tab/>
        <w:t>2666202298423000553,</w:t>
      </w:r>
    </w:p>
    <w:p>
      <w:pPr>
        <w:pStyle w:val="Style11"/>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2644200369723000211, 3645004088623000021), отметив при этом, что при каждом исполнении контракта Заказчиками была проведена экспертиза на совместимость и соответствие условия контрактов. Все контракты исполнены в полном объеме.</w:t>
      </w:r>
    </w:p>
    <w:p>
      <w:pPr>
        <w:pStyle w:val="Style11"/>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Также победителем аукциона ООО «Аймед» в материалы дела было представлено письмо №14 от 30.05.2023 от одного из Заказчиков, которому поставлялись реагенты «Юни-Гем» для работы с гематологическим анализатором Мшбгау ВС-3600. Из вышеуказанного письма следует, что Заказчик проработав с реагентами «Юни-Гем» около года, может подтвердить полную совместимость с гематологическим анализатором Мшбгау ВС-3600. Помимо этого, ООО «Аймед» представил в материалы дела видеозаписи, в которых продемонстрирована работа реагентов «Юни-Гем» с гематологическим анализатором Мшдгау ВС-3600.</w:t>
      </w:r>
    </w:p>
    <w:p>
      <w:pPr>
        <w:pStyle w:val="Style11"/>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На основании вышеизложенного, с учётом представленных в материалы дела документов и информации, комиссия Хакасского УФАС России приходит к выводу об отсутствии в действиях комиссии по осуществлению закупок нарушений положений Закона о контрактной системе при проведении закупки № 038020000123008795. Доводы Заявителя о предоставлении победителем Аукциона недостоверной информации (в части совместимости предлагаемых реагентов с гематологическим анализатором Мшбгау ВС-3600) не подтвердились. Кроме того, проверка фактического соответствия товара осуществляется Заказчиком на этапе исполнения контракта (пункт 1 части 1 статьи 94 Закона о контрактной системе), более того,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(часть 3 статьи 94 Закона о контрактной системе) и в случае если в ходе исполнения контракта будет установлено, что поставляемый товар не соответствует или перестал соответствовать установленным Извещением об осуществлении закупки требованиям к поставляемому товару, Заказчик обязан принять решение об одностороннем отказе от исполнения контракта (пункт 1 части 15 статьи 95 Закона о контрактной системе).</w:t>
      </w:r>
    </w:p>
    <w:p>
      <w:pPr>
        <w:pStyle w:val="Style11"/>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xml:space="preserve">В рассматриваемом же случае, комиссия Госкомзакупа, руководствуясь подпунктом а) пункта 1 части 5 статьи 49 Закона о контрактной системе, рассмотрела заявки на участие в электронном аукционе на соответствие требованиям, </w:t>
      </w:r>
      <w:r>
        <w:rPr>
          <w:color w:val="000000"/>
          <w:spacing w:val="0"/>
          <w:w w:val="100"/>
          <w:position w:val="0"/>
          <w:shd w:val="clear" w:color="auto" w:fill="auto"/>
          <w:lang w:val="ru-RU" w:eastAsia="ru-RU" w:bidi="ru-RU"/>
        </w:rPr>
        <w:t>установленным в Извещении об осуществлении закупки, и правомерно приняла решение о соответствии заявки победителя Аукциона требованиям Извещения об осуществлении закупки, поскольку в заявке ООО «Аймед» был предоставлен весь комплект необходимых документов в соответствии с Требованиями к содержанию, составу заявки на участие в электронном аукционе и Закона о контрактной системе.</w:t>
      </w:r>
    </w:p>
    <w:p>
      <w:pPr>
        <w:pStyle w:val="Style11"/>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Вместе с тем, в силу части 4 статьи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при этом на заседании Комиссии Управления, а также в составе жалобы Заявителем не представлено документов и сведений, свидетельствующих о нарушении Заказчиком норм законодательства о контрактной системе.</w:t>
      </w:r>
    </w:p>
    <w:p>
      <w:pPr>
        <w:pStyle w:val="Style11"/>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Таким образом, доводы жалобы не нашли своего подтверждения. Жалоба не обоснована. Иного Заявителем не доказано.</w:t>
      </w:r>
    </w:p>
    <w:p>
      <w:pPr>
        <w:pStyle w:val="Style11"/>
        <w:keepNext w:val="0"/>
        <w:keepLines w:val="0"/>
        <w:widowControl w:val="0"/>
        <w:shd w:val="clear" w:color="auto" w:fill="auto"/>
        <w:bidi w:val="0"/>
        <w:spacing w:before="0" w:after="340"/>
        <w:ind w:left="0" w:right="0" w:firstLine="580"/>
        <w:jc w:val="both"/>
      </w:pPr>
      <w:r>
        <w:rPr>
          <w:color w:val="000000"/>
          <w:spacing w:val="0"/>
          <w:w w:val="100"/>
          <w:position w:val="0"/>
          <w:shd w:val="clear" w:color="auto" w:fill="auto"/>
          <w:lang w:val="ru-RU" w:eastAsia="ru-RU" w:bidi="ru-RU"/>
        </w:rPr>
        <w:t>На основании изложенного и руководствуясь положениями Закона о контрактной системе, Комиссия,</w:t>
      </w:r>
    </w:p>
    <w:p>
      <w:pPr>
        <w:pStyle w:val="Style11"/>
        <w:keepNext w:val="0"/>
        <w:keepLines w:val="0"/>
        <w:widowControl w:val="0"/>
        <w:shd w:val="clear" w:color="auto" w:fill="auto"/>
        <w:bidi w:val="0"/>
        <w:spacing w:before="0" w:after="340"/>
        <w:ind w:left="0" w:right="0" w:firstLine="0"/>
        <w:jc w:val="center"/>
      </w:pPr>
      <w:r>
        <w:rPr>
          <w:b/>
          <w:bCs/>
          <w:color w:val="000000"/>
          <w:spacing w:val="0"/>
          <w:w w:val="100"/>
          <w:position w:val="0"/>
          <w:shd w:val="clear" w:color="auto" w:fill="auto"/>
          <w:lang w:val="ru-RU" w:eastAsia="ru-RU" w:bidi="ru-RU"/>
        </w:rPr>
        <w:t>РЕШИЛА:</w:t>
      </w:r>
    </w:p>
    <w:p>
      <w:pPr>
        <w:pStyle w:val="Style11"/>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Признать жалобу ООО «Медицинские технологии» необоснованной.</w:t>
      </w:r>
    </w:p>
    <w:p>
      <w:pPr>
        <w:pStyle w:val="Style22"/>
        <w:keepNext w:val="0"/>
        <w:keepLines w:val="0"/>
        <w:widowControl w:val="0"/>
        <w:shd w:val="clear" w:color="auto" w:fill="auto"/>
        <w:bidi w:val="0"/>
        <w:spacing w:before="0" w:after="340" w:line="276" w:lineRule="auto"/>
        <w:ind w:left="0" w:right="0" w:firstLine="580"/>
        <w:jc w:val="both"/>
      </w:pPr>
      <w:r>
        <w:rPr>
          <w:color w:val="000000"/>
          <w:spacing w:val="0"/>
          <w:w w:val="100"/>
          <w:position w:val="0"/>
          <w:shd w:val="clear" w:color="auto" w:fill="auto"/>
          <w:lang w:val="ru-RU" w:eastAsia="ru-RU" w:bidi="ru-RU"/>
        </w:rPr>
        <w:t>Настоящее решение может быть обжаловано в суде, арбитражном суде в течение трех месяцев в установленном законом порядке.</w:t>
      </w:r>
    </w:p>
    <w:p>
      <w:pPr>
        <w:pStyle w:val="Style11"/>
        <w:keepNext w:val="0"/>
        <w:keepLines w:val="0"/>
        <w:widowControl w:val="0"/>
        <w:shd w:val="clear" w:color="auto" w:fill="auto"/>
        <w:bidi w:val="0"/>
        <w:spacing w:before="0" w:after="1340"/>
        <w:ind w:left="0" w:right="0" w:firstLine="0"/>
        <w:jc w:val="both"/>
      </w:pPr>
      <w:r>
        <w:rPr>
          <w:color w:val="000000"/>
          <w:spacing w:val="0"/>
          <w:w w:val="100"/>
          <w:position w:val="0"/>
          <w:shd w:val="clear" w:color="auto" w:fill="auto"/>
          <w:lang w:val="ru-RU" w:eastAsia="ru-RU" w:bidi="ru-RU"/>
        </w:rPr>
        <w:t>Председатель комиссии</w:t>
      </w:r>
    </w:p>
    <w:p>
      <w:pPr>
        <w:pStyle w:val="Style11"/>
        <w:keepNext w:val="0"/>
        <w:keepLines w:val="0"/>
        <w:widowControl w:val="0"/>
        <w:shd w:val="clear" w:color="auto" w:fill="auto"/>
        <w:bidi w:val="0"/>
        <w:spacing w:before="0" w:after="340" w:line="240" w:lineRule="auto"/>
        <w:ind w:left="0" w:right="0" w:firstLine="0"/>
        <w:jc w:val="both"/>
      </w:pPr>
      <w:r>
        <w:rPr>
          <w:color w:val="000000"/>
          <w:spacing w:val="0"/>
          <w:w w:val="100"/>
          <w:position w:val="0"/>
          <w:shd w:val="clear" w:color="auto" w:fill="auto"/>
          <w:lang w:val="ru-RU" w:eastAsia="ru-RU" w:bidi="ru-RU"/>
        </w:rPr>
        <w:t>Члены комиссии:</w:t>
      </w:r>
    </w:p>
    <w:sectPr>
      <w:headerReference w:type="default" r:id="rId8"/>
      <w:footerReference w:type="default" r:id="rId9"/>
      <w:footnotePr>
        <w:pos w:val="pageBottom"/>
        <w:numFmt w:val="decimal"/>
        <w:numRestart w:val="continuous"/>
      </w:footnotePr>
      <w:pgSz w:w="11900" w:h="16840"/>
      <w:pgMar w:top="1690" w:right="355" w:bottom="1263" w:left="97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723900</wp:posOffset>
              </wp:positionH>
              <wp:positionV relativeFrom="page">
                <wp:posOffset>9857740</wp:posOffset>
              </wp:positionV>
              <wp:extent cx="572770" cy="100330"/>
              <wp:wrapNone/>
              <wp:docPr id="3" name="Shape 3"/>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2024-367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776.20000000000005pt;width:45.100000000000001pt;height:7.9000000000000004pt;z-index:-188744062;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2024-367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735330</wp:posOffset>
              </wp:positionH>
              <wp:positionV relativeFrom="page">
                <wp:posOffset>10016490</wp:posOffset>
              </wp:positionV>
              <wp:extent cx="572770" cy="100330"/>
              <wp:wrapNone/>
              <wp:docPr id="7" name="Shape 7"/>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2024-367</w:t>
                          </w:r>
                        </w:p>
                      </w:txbxContent>
                    </wps:txbx>
                    <wps:bodyPr wrap="none" lIns="0" tIns="0" rIns="0" bIns="0">
                      <a:spAutoFit/>
                    </wps:bodyPr>
                  </wps:wsp>
                </a:graphicData>
              </a:graphic>
            </wp:anchor>
          </w:drawing>
        </mc:Choice>
        <mc:Fallback>
          <w:pict>
            <v:shape id="_x0000_s1033" type="#_x0000_t202" style="position:absolute;margin-left:57.899999999999999pt;margin-top:788.70000000000005pt;width:45.100000000000001pt;height:7.9000000000000004pt;z-index:-188744058;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2024-367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3917315</wp:posOffset>
              </wp:positionH>
              <wp:positionV relativeFrom="page">
                <wp:posOffset>762635</wp:posOffset>
              </wp:positionV>
              <wp:extent cx="128270" cy="100330"/>
              <wp:wrapNone/>
              <wp:docPr id="5" name="Shape 5"/>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8.44999999999999pt;margin-top:60.050000000000004pt;width:10.1pt;height:7.9000000000000004pt;z-index:-188744060;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65D9B"/>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65D9B"/>
      <w:sz w:val="19"/>
      <w:szCs w:val="19"/>
      <w:u w:val="none"/>
    </w:rPr>
  </w:style>
  <w:style w:type="character" w:customStyle="1" w:styleId="CharStyle8">
    <w:name w:val="Заголовок №2_"/>
    <w:basedOn w:val="DefaultParagraphFont"/>
    <w:link w:val="Style7"/>
    <w:rPr>
      <w:rFonts w:ascii="Times New Roman" w:eastAsia="Times New Roman" w:hAnsi="Times New Roman" w:cs="Times New Roman"/>
      <w:b w:val="0"/>
      <w:bCs w:val="0"/>
      <w:i w:val="0"/>
      <w:iCs w:val="0"/>
      <w:smallCaps w:val="0"/>
      <w:strike w:val="0"/>
      <w:sz w:val="30"/>
      <w:szCs w:val="30"/>
      <w:u w:val="singl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Заголовок №1_"/>
    <w:basedOn w:val="DefaultParagraphFont"/>
    <w:link w:val="Style16"/>
    <w:rPr>
      <w:rFonts w:ascii="Arial" w:eastAsia="Arial" w:hAnsi="Arial" w:cs="Arial"/>
      <w:b w:val="0"/>
      <w:bCs w:val="0"/>
      <w:i w:val="0"/>
      <w:iCs w:val="0"/>
      <w:smallCaps w:val="0"/>
      <w:strike w:val="0"/>
      <w:sz w:val="54"/>
      <w:szCs w:val="54"/>
      <w:u w:val="none"/>
    </w:rPr>
  </w:style>
  <w:style w:type="character" w:customStyle="1" w:styleId="CharStyle19">
    <w:name w:val="Колонтитул (2)_"/>
    <w:basedOn w:val="DefaultParagraphFont"/>
    <w:link w:val="Style18"/>
    <w:rPr>
      <w:rFonts w:ascii="Times New Roman" w:eastAsia="Times New Roman" w:hAnsi="Times New Roman" w:cs="Times New Roman"/>
      <w:b w:val="0"/>
      <w:bCs w:val="0"/>
      <w:i w:val="0"/>
      <w:iCs w:val="0"/>
      <w:smallCaps w:val="0"/>
      <w:strike w:val="0"/>
      <w:sz w:val="20"/>
      <w:szCs w:val="20"/>
      <w:u w:val="none"/>
    </w:rPr>
  </w:style>
  <w:style w:type="character" w:customStyle="1" w:styleId="CharStyle23">
    <w:name w:val="Основной текст (2)_"/>
    <w:basedOn w:val="DefaultParagraphFont"/>
    <w:link w:val="Style22"/>
    <w:rPr>
      <w:rFonts w:ascii="Times New Roman" w:eastAsia="Times New Roman" w:hAnsi="Times New Roman" w:cs="Times New Roman"/>
      <w:b w:val="0"/>
      <w:bCs w:val="0"/>
      <w:i/>
      <w:iCs/>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160" w:line="281" w:lineRule="auto"/>
      <w:jc w:val="center"/>
    </w:pPr>
    <w:rPr>
      <w:rFonts w:ascii="Times New Roman" w:eastAsia="Times New Roman" w:hAnsi="Times New Roman" w:cs="Times New Roman"/>
      <w:b w:val="0"/>
      <w:bCs w:val="0"/>
      <w:i w:val="0"/>
      <w:iCs w:val="0"/>
      <w:smallCaps w:val="0"/>
      <w:strike w:val="0"/>
      <w:color w:val="465D9B"/>
      <w:sz w:val="16"/>
      <w:szCs w:val="16"/>
      <w:u w:val="none"/>
    </w:rPr>
  </w:style>
  <w:style w:type="paragraph" w:customStyle="1" w:styleId="Style5">
    <w:name w:val="Основной текст (4)"/>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65D9B"/>
      <w:sz w:val="19"/>
      <w:szCs w:val="19"/>
      <w:u w:val="none"/>
    </w:rPr>
  </w:style>
  <w:style w:type="paragraph" w:customStyle="1" w:styleId="Style7">
    <w:name w:val="Заголовок №2"/>
    <w:basedOn w:val="Normal"/>
    <w:link w:val="CharStyle8"/>
    <w:pPr>
      <w:widowControl w:val="0"/>
      <w:shd w:val="clear" w:color="auto" w:fill="auto"/>
      <w:spacing w:after="320"/>
      <w:ind w:firstLine="14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1">
    <w:name w:val="Основной текст"/>
    <w:basedOn w:val="Normal"/>
    <w:link w:val="CharStyle12"/>
    <w:pPr>
      <w:widowControl w:val="0"/>
      <w:shd w:val="clear" w:color="auto" w:fill="auto"/>
      <w:spacing w:line="298"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Заголовок №1"/>
    <w:basedOn w:val="Normal"/>
    <w:link w:val="CharStyle17"/>
    <w:pPr>
      <w:widowControl w:val="0"/>
      <w:shd w:val="clear" w:color="auto" w:fill="auto"/>
      <w:outlineLvl w:val="0"/>
    </w:pPr>
    <w:rPr>
      <w:rFonts w:ascii="Arial" w:eastAsia="Arial" w:hAnsi="Arial" w:cs="Arial"/>
      <w:b w:val="0"/>
      <w:bCs w:val="0"/>
      <w:i w:val="0"/>
      <w:iCs w:val="0"/>
      <w:smallCaps w:val="0"/>
      <w:strike w:val="0"/>
      <w:sz w:val="54"/>
      <w:szCs w:val="54"/>
      <w:u w:val="none"/>
    </w:rPr>
  </w:style>
  <w:style w:type="paragraph" w:customStyle="1" w:styleId="Style18">
    <w:name w:val="Колонтитул (2)"/>
    <w:basedOn w:val="Normal"/>
    <w:link w:val="CharStyle1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2">
    <w:name w:val="Основной текст (2)"/>
    <w:basedOn w:val="Normal"/>
    <w:link w:val="CharStyle23"/>
    <w:pPr>
      <w:widowControl w:val="0"/>
      <w:shd w:val="clear" w:color="auto" w:fill="auto"/>
      <w:spacing w:line="262" w:lineRule="auto"/>
      <w:ind w:firstLine="660"/>
    </w:pPr>
    <w:rPr>
      <w:rFonts w:ascii="Times New Roman" w:eastAsia="Times New Roman" w:hAnsi="Times New Roman" w:cs="Times New Roman"/>
      <w:b w:val="0"/>
      <w:bCs w:val="0"/>
      <w:i/>
      <w:iCs/>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s>
</file>