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3704590</wp:posOffset>
            </wp:positionH>
            <wp:positionV relativeFrom="paragraph">
              <wp:posOffset>12700</wp:posOffset>
            </wp:positionV>
            <wp:extent cx="560705" cy="66421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64210"/>
                    </a:xfrm>
                    <a:prstGeom prst="rect"/>
                  </pic:spPr>
                </pic:pic>
              </a:graphicData>
            </a:graphic>
          </wp:anchor>
        </w:drawing>
      </w:r>
    </w:p>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телефакс: (8212) 21-41-29</w:t>
        <w:br/>
        <w:t>е-таП: го 11@Га8.§оу.ги</w:t>
      </w:r>
    </w:p>
    <w:p>
      <w:pPr>
        <w:pStyle w:val="Style10"/>
        <w:keepNext w:val="0"/>
        <w:keepLines w:val="0"/>
        <w:widowControl w:val="0"/>
        <w:shd w:val="clear" w:color="auto" w:fill="auto"/>
        <w:tabs>
          <w:tab w:pos="1970" w:val="left"/>
        </w:tabs>
        <w:bidi w:val="0"/>
        <w:spacing w:before="0" w:line="240" w:lineRule="auto"/>
        <w:ind w:left="0" w:right="0"/>
        <w:jc w:val="both"/>
      </w:pPr>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8.01.2024</w:t>
        <w:tab/>
      </w:r>
      <w:r>
        <w:fldChar w:fldCharType="end"/>
      </w:r>
      <w:r>
        <w:rPr>
          <w:color w:val="000000"/>
          <w:spacing w:val="0"/>
          <w:w w:val="100"/>
          <w:position w:val="0"/>
          <w:shd w:val="clear" w:color="auto" w:fill="auto"/>
          <w:lang w:val="ru-RU" w:eastAsia="ru-RU" w:bidi="ru-RU"/>
        </w:rPr>
        <w:t>№ ОД/269/24</w:t>
      </w:r>
    </w:p>
    <w:p>
      <w:pPr>
        <w:pStyle w:val="Style8"/>
        <w:keepNext w:val="0"/>
        <w:keepLines w:val="0"/>
        <w:widowControl w:val="0"/>
        <w:shd w:val="clear" w:color="auto" w:fill="auto"/>
        <w:bidi w:val="0"/>
        <w:spacing w:before="0" w:after="0" w:line="240"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2"/>
        <w:keepNext w:val="0"/>
        <w:keepLines w:val="0"/>
        <w:widowControl w:val="0"/>
        <w:shd w:val="clear" w:color="auto" w:fill="auto"/>
        <w:bidi w:val="0"/>
        <w:spacing w:before="0" w:after="0" w:line="288" w:lineRule="auto"/>
        <w:ind w:left="1180" w:right="0" w:firstLine="0"/>
        <w:jc w:val="left"/>
        <w:rPr>
          <w:sz w:val="17"/>
          <w:szCs w:val="17"/>
        </w:rPr>
      </w:pPr>
      <w:r>
        <w:rPr>
          <w:b/>
          <w:bCs/>
          <w:spacing w:val="0"/>
          <w:w w:val="100"/>
          <w:position w:val="0"/>
          <w:sz w:val="17"/>
          <w:szCs w:val="17"/>
          <w:shd w:val="clear" w:color="auto" w:fill="auto"/>
          <w:lang w:val="ru-RU" w:eastAsia="ru-RU" w:bidi="ru-RU"/>
        </w:rPr>
        <w:t>ФЕДЕРАЛЬНОЙ</w:t>
      </w:r>
    </w:p>
    <w:p>
      <w:pPr>
        <w:pStyle w:val="Style2"/>
        <w:keepNext w:val="0"/>
        <w:keepLines w:val="0"/>
        <w:widowControl w:val="0"/>
        <w:shd w:val="clear" w:color="auto" w:fill="auto"/>
        <w:bidi w:val="0"/>
        <w:spacing w:before="0" w:after="140" w:line="288" w:lineRule="auto"/>
        <w:ind w:left="380" w:right="0" w:firstLine="0"/>
        <w:jc w:val="right"/>
        <w:rPr>
          <w:sz w:val="17"/>
          <w:szCs w:val="17"/>
        </w:rPr>
      </w:pPr>
      <w:r>
        <w:rPr>
          <w:b/>
          <w:bCs/>
          <w:spacing w:val="0"/>
          <w:w w:val="100"/>
          <w:position w:val="0"/>
          <w:sz w:val="17"/>
          <w:szCs w:val="17"/>
          <w:shd w:val="clear" w:color="auto" w:fill="auto"/>
          <w:lang w:val="ru-RU" w:eastAsia="ru-RU" w:bidi="ru-RU"/>
        </w:rPr>
        <w:t>АНТИМОНОПОЛЬНОЙ СЛУЖБА</w:t>
      </w:r>
    </w:p>
    <w:p>
      <w:pPr>
        <w:pStyle w:val="Style8"/>
        <w:keepNext w:val="0"/>
        <w:keepLines w:val="0"/>
        <w:widowControl w:val="0"/>
        <w:shd w:val="clear" w:color="auto" w:fill="auto"/>
        <w:bidi w:val="0"/>
        <w:spacing w:before="0" w:after="0" w:line="259" w:lineRule="auto"/>
        <w:ind w:left="380" w:right="0" w:firstLine="0"/>
        <w:jc w:val="right"/>
      </w:pPr>
      <w:r>
        <w:rPr>
          <w:spacing w:val="0"/>
          <w:w w:val="100"/>
          <w:position w:val="0"/>
          <w:shd w:val="clear" w:color="auto" w:fill="auto"/>
          <w:lang w:val="ru-RU" w:eastAsia="ru-RU" w:bidi="ru-RU"/>
        </w:rPr>
        <w:t>Федеральной антимонопольной службалбн Коми Республиками</w:t>
      </w:r>
    </w:p>
    <w:p>
      <w:pPr>
        <w:pStyle w:val="Style8"/>
        <w:keepNext w:val="0"/>
        <w:keepLines w:val="0"/>
        <w:widowControl w:val="0"/>
        <w:shd w:val="clear" w:color="auto" w:fill="auto"/>
        <w:bidi w:val="0"/>
        <w:spacing w:before="0" w:after="280" w:line="259" w:lineRule="auto"/>
        <w:ind w:left="1820" w:right="0" w:firstLine="0"/>
        <w:jc w:val="left"/>
      </w:pPr>
      <w:r>
        <w:rPr>
          <w:spacing w:val="0"/>
          <w:w w:val="100"/>
          <w:position w:val="0"/>
          <w:shd w:val="clear" w:color="auto" w:fill="auto"/>
          <w:lang w:val="ru-RU" w:eastAsia="ru-RU" w:bidi="ru-RU"/>
        </w:rPr>
        <w:t>ВЕСЬКОДЛАНШ</w:t>
      </w:r>
    </w:p>
    <w:p>
      <w:pPr>
        <w:pStyle w:val="Style2"/>
        <w:keepNext w:val="0"/>
        <w:keepLines w:val="0"/>
        <w:widowControl w:val="0"/>
        <w:shd w:val="clear" w:color="auto" w:fill="auto"/>
        <w:bidi w:val="0"/>
        <w:spacing w:before="0" w:after="28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е-шаП: 1о11@Га8.§оу.га</w:t>
      </w:r>
    </w:p>
    <w:p>
      <w:pPr>
        <w:pStyle w:val="Style13"/>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423" w:right="1563" w:bottom="1231" w:left="1111" w:header="0" w:footer="3" w:gutter="0"/>
          <w:pgNumType w:start="1"/>
          <w:cols w:num="2" w:space="778"/>
          <w:noEndnote/>
          <w:titlePg/>
          <w:rtlGutter w:val="0"/>
          <w:docGrid w:linePitch="360"/>
        </w:sectPr>
      </w:pPr>
      <w:r>
        <w:rPr>
          <w:b/>
          <w:bCs/>
          <w:color w:val="000000"/>
          <w:spacing w:val="0"/>
          <w:w w:val="100"/>
          <w:position w:val="0"/>
          <w:shd w:val="clear" w:color="auto" w:fill="auto"/>
          <w:lang w:val="ru-RU" w:eastAsia="ru-RU" w:bidi="ru-RU"/>
        </w:rPr>
        <w:t>Общество с ограниченной ответственностью «ОГИС ТРЕЙД»</w:t>
      </w:r>
    </w:p>
    <w:p>
      <w:pPr>
        <w:widowControl w:val="0"/>
        <w:spacing w:line="111" w:lineRule="exact"/>
        <w:rPr>
          <w:sz w:val="9"/>
          <w:szCs w:val="9"/>
        </w:rPr>
      </w:pPr>
    </w:p>
    <w:p>
      <w:pPr>
        <w:widowControl w:val="0"/>
        <w:spacing w:line="1" w:lineRule="exact"/>
        <w:sectPr>
          <w:footnotePr>
            <w:pos w:val="pageBottom"/>
            <w:numFmt w:val="decimal"/>
            <w:numRestart w:val="continuous"/>
          </w:footnotePr>
          <w:type w:val="continuous"/>
          <w:pgSz w:w="11900" w:h="16840"/>
          <w:pgMar w:top="1017" w:right="0" w:bottom="1006" w:left="0" w:header="0" w:footer="3" w:gutter="0"/>
          <w:cols w:space="720"/>
          <w:noEndnote/>
          <w:rtlGutter w:val="0"/>
          <w:docGrid w:linePitch="360"/>
        </w:sectPr>
      </w:pPr>
    </w:p>
    <w:p>
      <w:pPr>
        <w:pStyle w:val="Style13"/>
        <w:keepNext w:val="0"/>
        <w:keepLines w:val="0"/>
        <w:widowControl w:val="0"/>
        <w:shd w:val="clear" w:color="auto" w:fill="auto"/>
        <w:bidi w:val="0"/>
        <w:spacing w:before="0" w:after="260" w:line="240" w:lineRule="auto"/>
        <w:ind w:left="3720" w:right="0" w:firstLine="0"/>
        <w:jc w:val="left"/>
      </w:pPr>
      <w:r>
        <mc:AlternateContent>
          <mc:Choice Requires="wps">
            <w:drawing>
              <wp:anchor distT="0" distB="0" distL="114300" distR="114300" simplePos="0" relativeHeight="125829379" behindDoc="0" locked="0" layoutInCell="1" allowOverlap="1">
                <wp:simplePos x="0" y="0"/>
                <wp:positionH relativeFrom="page">
                  <wp:posOffset>735965</wp:posOffset>
                </wp:positionH>
                <wp:positionV relativeFrom="paragraph">
                  <wp:posOffset>114300</wp:posOffset>
                </wp:positionV>
                <wp:extent cx="673735" cy="234950"/>
                <wp:wrapSquare wrapText="right"/>
                <wp:docPr id="9" name="Shape 9"/>
                <a:graphic xmlns:a="http://schemas.openxmlformats.org/drawingml/2006/main">
                  <a:graphicData uri="http://schemas.microsoft.com/office/word/2010/wordprocessingShape">
                    <wps:wsp>
                      <wps:cNvSpPr txBox="1"/>
                      <wps:spPr>
                        <a:xfrm>
                          <a:ext cx="67373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wps:txbx>
                      <wps:bodyPr wrap="none" lIns="0" tIns="0" rIns="0" bIns="0">
                        <a:noAutoFit/>
                      </wps:bodyPr>
                    </wps:wsp>
                  </a:graphicData>
                </a:graphic>
              </wp:anchor>
            </w:drawing>
          </mc:Choice>
          <mc:Fallback>
            <w:pict>
              <v:shape id="_x0000_s1035" type="#_x0000_t202" style="position:absolute;margin-left:57.950000000000003pt;margin-top:9.pt;width:53.050000000000004pt;height:18.5pt;z-index:-125829374;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v:textbox>
                <w10:wrap type="square" side="right" anchorx="page"/>
              </v:shape>
            </w:pict>
          </mc:Fallback>
        </mc:AlternateContent>
      </w:r>
      <w:r>
        <w:rPr>
          <w:color w:val="000000"/>
          <w:spacing w:val="0"/>
          <w:w w:val="100"/>
          <w:position w:val="0"/>
          <w:shd w:val="clear" w:color="auto" w:fill="auto"/>
          <w:lang w:val="ru-RU" w:eastAsia="ru-RU" w:bidi="ru-RU"/>
        </w:rPr>
        <w:t>через Единую информационную систему</w:t>
      </w:r>
    </w:p>
    <w:p>
      <w:pPr>
        <w:pStyle w:val="Style13"/>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 xml:space="preserve">Отделение Фонда Пенсионного и социального страхования Российской Федерации по Республике Коми </w:t>
      </w:r>
      <w:r>
        <w:rPr>
          <w:color w:val="000000"/>
          <w:spacing w:val="0"/>
          <w:w w:val="100"/>
          <w:position w:val="0"/>
          <w:shd w:val="clear" w:color="auto" w:fill="auto"/>
          <w:lang w:val="ru-RU" w:eastAsia="ru-RU" w:bidi="ru-RU"/>
        </w:rPr>
        <w:t>через Единую информационную систему</w:t>
      </w:r>
    </w:p>
    <w:p>
      <w:pPr>
        <w:pStyle w:val="Style13"/>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Общество с ограниченной ответственностью «РТС-тендер»</w:t>
      </w:r>
    </w:p>
    <w:p>
      <w:pPr>
        <w:pStyle w:val="Style13"/>
        <w:keepNext w:val="0"/>
        <w:keepLines w:val="0"/>
        <w:widowControl w:val="0"/>
        <w:shd w:val="clear" w:color="auto" w:fill="auto"/>
        <w:bidi w:val="0"/>
        <w:spacing w:before="0" w:after="360" w:line="240" w:lineRule="auto"/>
        <w:ind w:left="502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13"/>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РЕШЕНИЕ</w:t>
        <w:br/>
        <w:t>по жалобе № 011/06/42-1/2024</w:t>
      </w:r>
    </w:p>
    <w:p>
      <w:pPr>
        <w:pStyle w:val="Style13"/>
        <w:keepNext w:val="0"/>
        <w:keepLines w:val="0"/>
        <w:widowControl w:val="0"/>
        <w:shd w:val="clear" w:color="auto" w:fill="auto"/>
        <w:bidi w:val="0"/>
        <w:spacing w:before="0" w:after="56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6219190</wp:posOffset>
                </wp:positionH>
                <wp:positionV relativeFrom="paragraph">
                  <wp:posOffset>12700</wp:posOffset>
                </wp:positionV>
                <wp:extent cx="953770" cy="234950"/>
                <wp:wrapSquare wrapText="left"/>
                <wp:docPr id="11" name="Shape 11"/>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wps:txbx>
                      <wps:bodyPr wrap="none" lIns="0" tIns="0" rIns="0" bIns="0">
                        <a:noAutoFit/>
                      </wps:bodyPr>
                    </wps:wsp>
                  </a:graphicData>
                </a:graphic>
              </wp:anchor>
            </w:drawing>
          </mc:Choice>
          <mc:Fallback>
            <w:pict>
              <v:shape id="_x0000_s1037" type="#_x0000_t202" style="position:absolute;margin-left:489.69999999999999pt;margin-top:1.pt;width:75.100000000000009pt;height:18.5pt;z-index:-125829372;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v:textbox>
                <w10:wrap type="square" side="left" anchorx="page"/>
              </v:shape>
            </w:pict>
          </mc:Fallback>
        </mc:AlternateContent>
      </w:r>
      <w:r>
        <w:rPr>
          <w:color w:val="000000"/>
          <w:spacing w:val="0"/>
          <w:w w:val="100"/>
          <w:position w:val="0"/>
          <w:shd w:val="clear" w:color="auto" w:fill="auto"/>
          <w:lang w:val="ru-RU" w:eastAsia="ru-RU" w:bidi="ru-RU"/>
        </w:rPr>
        <w:t>15 января 2024 года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Коми по контролю в сфере закупок в составе: Дейберт О.И. - заместителя руководителя управления - начальника отдела контроля закупок, председатель Комиссии; Овериной А.В. - главного специалиста-эксперта управления, члена Комиссии; Растегаевой А.Д. - специалиста-эксперта управления, члена Комиссии (далее - Комиссия Коми УФАС России), рассмотрев жалобу общества с ограниченной ответственностью «ОГИС ТРЕЙД» (далее - ООО «ОГИС ТРЕЙД») от 29.12.2023 № 29/12-1 (вх. от 29.12.2023 № 9672/23) на действия заказчика - Отделения Фонда Пенсионного и социального страхования Российской Федерации по Республике Коми (далее - ОСФР по Республике Коми) при осуществлении закупки путем проведения электронного аукциона «Поставка подгузников», извещение № 0207100000123000288 (далее - жалоба),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участии в рассмотрении жалобы посредством веб-видеоконференции:</w:t>
      </w:r>
    </w:p>
    <w:p>
      <w:pPr>
        <w:pStyle w:val="Style13"/>
        <w:keepNext w:val="0"/>
        <w:keepLines w:val="0"/>
        <w:widowControl w:val="0"/>
        <w:shd w:val="clear" w:color="auto" w:fill="auto"/>
        <w:bidi w:val="0"/>
        <w:spacing w:before="0" w:after="360" w:line="240" w:lineRule="auto"/>
        <w:ind w:left="0" w:right="0" w:firstLine="740"/>
        <w:jc w:val="both"/>
      </w:pPr>
      <w:r>
        <w:rPr>
          <w:color w:val="000000"/>
          <w:spacing w:val="0"/>
          <w:w w:val="100"/>
          <w:position w:val="0"/>
          <w:shd w:val="clear" w:color="auto" w:fill="auto"/>
          <w:lang w:val="ru-RU" w:eastAsia="ru-RU" w:bidi="ru-RU"/>
        </w:rPr>
        <w:t>-Полюхович Л.Ф., представителя ООО «ОГИС ТРЕЙД» по доверенности от 09.01.2024 № 09/01-2,</w:t>
      </w:r>
    </w:p>
    <w:p>
      <w:pPr>
        <w:pStyle w:val="Style16"/>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111111111111111111111111</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в рассмотрении жалобы:</w:t>
      </w:r>
    </w:p>
    <w:p>
      <w:pPr>
        <w:pStyle w:val="Style13"/>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-Карповой И.Б., Лаврик К.А., Кутькиной О.Н. представителей ОСФР по Республике Коми по доверенностям от 15.01.2024 №№ 3, 1, 2 соответственно,</w:t>
      </w:r>
    </w:p>
    <w:p>
      <w:pPr>
        <w:pStyle w:val="Style13"/>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3"/>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поступила жалоба ООО «ОГИС ТРЕЙД» от 29.12.2023 № 29/12-1 (вх. от 29.12.2023 № 9672/23) на действия заказчика - ОСФР по Республике Коми при осуществлении закупки путем проведения электронного аукциона «Поставка подгузников», извещение № 0207100000123000288 (далее - закупка, электронный аукцион).</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пунктом 1 части 2 статьи 105 Закона о контрактной системе. В связи с чем жалоба принята Коми УФАС России к рассмотрению.</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«ОГИС ТРЕЙД» заявлено ходатайство вх. 15.01.2024 № 291-ЭП/24 о рассмотрении жалобы в формате веб-видеоконференции.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w:t>
        <w:softHyphen/>
        <w:t>конференц-связи при наличии в контрольном органе в сфере закупок технической возможности осуществления видео-конференц-связи.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наличием технической возможности осуществления видео-конференц</w:t>
        <w:softHyphen/>
        <w:t>связи при рассмотрении жалобы и проведения внеплановой проверки, ходатайство ООО «ОГИС ТРЕЙД» удовлетворено.</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«ОГИС ТРЕЙД», ОСФР по Республике Коми, общество с ограниченной ответственностью «РТС-тендер» (далее - оператор электронной площадки) о дате, времени, месте, формате (веб-видеоконференция) рассмотрения жалобы и проведения внеплановой проверки надлежащим образом извещены.</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законодательно установленных сроков рассмотрения жалобы отсутствие представителей оператора электронной площадки не препятствует рассмотрению жалобы по существу.</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«ОГИС ТРЕЙД» обжаловано действие заказчика - ОСФР по Республике Коми при определении положений извещения о закупке в части: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включения в Инструкцию по заполнению заявки на участие в электронном аукционе требования об указании в заявке на участие в закупке конкретных значений показателей, сопровождающихся в Описании объекта закупки словами и символами: «не более», «не менее».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доводам заявителя, значения показателей «объем талии/бедер», «полное влагопоглощение», «обратная сорбция» можно установить только приемо-сдаточными испытаниями, в связи с чем, на момент подачи заявки участником должен быть закуплен полный объём товара и получены приема-сдаточные испытания на партии закупленного товара, чтобы при приемке поставленного товара подтвердить ими значения, указанные в </w:t>
      </w:r>
      <w:r>
        <w:rPr>
          <w:color w:val="000000"/>
          <w:spacing w:val="0"/>
          <w:w w:val="100"/>
          <w:position w:val="0"/>
          <w:shd w:val="clear" w:color="auto" w:fill="auto"/>
          <w:lang w:val="ru-RU" w:eastAsia="ru-RU" w:bidi="ru-RU"/>
        </w:rPr>
        <w:t>заявке участника.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Также согласно устным пояснениям представителя заявителя, приведенным в ходе заседания по рассмотрению жалобы, в Описании объекта закупки заказчиком неправомерно в наименовании товара установлено требование относительно размера объемов талии/бедер до ... см </w:t>
      </w:r>
      <w:r>
        <w:rPr>
          <w:i/>
          <w:iCs/>
          <w:color w:val="000000"/>
          <w:spacing w:val="0"/>
          <w:w w:val="100"/>
          <w:position w:val="0"/>
          <w:shd w:val="clear" w:color="auto" w:fill="auto"/>
          <w:lang w:val="ru-RU" w:eastAsia="ru-RU" w:bidi="ru-RU"/>
        </w:rPr>
        <w:t>включительно</w:t>
      </w:r>
      <w:r>
        <w:rPr>
          <w:color w:val="000000"/>
          <w:spacing w:val="0"/>
          <w:w w:val="100"/>
          <w:position w:val="0"/>
          <w:shd w:val="clear" w:color="auto" w:fill="auto"/>
          <w:lang w:val="ru-RU" w:eastAsia="ru-RU" w:bidi="ru-RU"/>
        </w:rPr>
        <w:t>».</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2) включения в приложение № 1 проекта государственного контракта отличной от технического задания приложения № 1 к извещению о закупке информации, в связи с чем потенциальный участник электронного аукциона не может сделать вывод, на основании чего заполняется техническое задание в контракте.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техническом задании Заказчик не применят сноски и не применяет классификатор ТСР, соответственно документация, инструкция и проект контракта содержат противоречивую информацию.</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заявителем приведен довод о нарушениях заказчиком при описании объекта закупки требований статьи 17 Федерального Закона от 26.07.2006 № 135-ФЗ «О защите конкуренции».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ОСФР по Республике Коми в отзыве на жалобу от 12.01.2024 № АХ-23-06/1780 (вх. от 12.01.2024 № 270-ЭП/24) заявлены возражения относительно позиции заявителя.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Коми УФАС России в ходе проведения внеплановой проверки осуществления закупки в соответствии с пунктом 1 части 15 статьи 99 Закона о контрактной системе, изучив материалы жалобы, ознакомившись с извещением о проведении электронного аукциона, электронными документами, содержащимися при указанном извещении, заявками участников закупки, представленными в материалы жалобы оператором электронной площадки в составе письма вх. от 09.01.2024 № 95-ЭП/24, заслушав представителей сторон, пришла к нижеследующим выводам.</w:t>
      </w:r>
    </w:p>
    <w:p>
      <w:pPr>
        <w:pStyle w:val="Style13"/>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Заказчиком осуществления закупки явилось ОСФР по Республике Коми.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 закупки - «Поставка подгузников».</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составила 29 714 357,01 руб.</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 о проведении электронного аукциона размещено на официальном сайте Единой информационной системы в сфере закупок \у\у\у./акирк1.доу.ги (далее - официальный сайт) 22.12.2023.</w:t>
      </w:r>
    </w:p>
    <w:p>
      <w:pPr>
        <w:pStyle w:val="Style13"/>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Одним из конкурентных способов определения поставщиков (подрядчиков, исполнителей) является, согласно пункту 2 части 2 статьи 24 Закона о контрактной </w:t>
      </w:r>
      <w:r>
        <w:rPr>
          <w:color w:val="000000"/>
          <w:spacing w:val="0"/>
          <w:w w:val="100"/>
          <w:position w:val="0"/>
          <w:shd w:val="clear" w:color="auto" w:fill="auto"/>
          <w:lang w:val="ru-RU" w:eastAsia="ru-RU" w:bidi="ru-RU"/>
        </w:rPr>
        <w:t>системе, в том числе аукцион (открытый аукцион в электронной форме (далее - электронный аукцион).</w:t>
      </w:r>
    </w:p>
    <w:p>
      <w:pPr>
        <w:pStyle w:val="Style13"/>
        <w:keepNext w:val="0"/>
        <w:keepLines w:val="0"/>
        <w:widowControl w:val="0"/>
        <w:numPr>
          <w:ilvl w:val="1"/>
          <w:numId w:val="1"/>
        </w:numPr>
        <w:shd w:val="clear" w:color="auto" w:fill="auto"/>
        <w:tabs>
          <w:tab w:pos="130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3"/>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в том числе, описание объекта закупки в соответствии со статьей 33 настоящего Федерального закона.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извещения о закупке на официальном сайте размещен электронный документ «Описание объекта закупки» (приложение № 1 к извещению об электронном аукционе) (далее - Описание объекта закупки).</w:t>
      </w:r>
    </w:p>
    <w:p>
      <w:pPr>
        <w:pStyle w:val="Style13"/>
        <w:keepNext w:val="0"/>
        <w:keepLines w:val="0"/>
        <w:widowControl w:val="0"/>
        <w:shd w:val="clear" w:color="auto" w:fill="auto"/>
        <w:bidi w:val="0"/>
        <w:spacing w:before="0" w:after="40" w:line="240" w:lineRule="auto"/>
        <w:ind w:left="0" w:right="0" w:firstLine="720"/>
        <w:jc w:val="both"/>
      </w:pPr>
      <w:r>
        <w:rPr>
          <w:color w:val="000000"/>
          <w:spacing w:val="0"/>
          <w:w w:val="100"/>
          <w:position w:val="0"/>
          <w:shd w:val="clear" w:color="auto" w:fill="auto"/>
          <w:lang w:val="ru-RU" w:eastAsia="ru-RU" w:bidi="ru-RU"/>
        </w:rPr>
        <w:t>Описание объекта закупки содержит, наряду с прочим, следующие требования к</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закупаемому товару:</w:t>
      </w:r>
    </w:p>
    <w:tbl>
      <w:tblPr>
        <w:tblOverlap w:val="never"/>
        <w:jc w:val="center"/>
        <w:tblLayout w:type="fixed"/>
      </w:tblPr>
      <w:tblGrid>
        <w:gridCol w:w="2664"/>
        <w:gridCol w:w="1565"/>
        <w:gridCol w:w="5875"/>
      </w:tblGrid>
      <w:tr>
        <w:trPr>
          <w:trHeight w:val="797" w:hRule="exact"/>
        </w:trPr>
        <w:tc>
          <w:tcPr>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180"/>
              <w:jc w:val="both"/>
              <w:rPr>
                <w:sz w:val="24"/>
                <w:szCs w:val="24"/>
              </w:rPr>
            </w:pPr>
            <w:r>
              <w:rPr>
                <w:color w:val="000000"/>
                <w:spacing w:val="0"/>
                <w:w w:val="100"/>
                <w:position w:val="0"/>
                <w:sz w:val="24"/>
                <w:szCs w:val="24"/>
                <w:shd w:val="clear" w:color="auto" w:fill="auto"/>
                <w:lang w:val="ru-RU" w:eastAsia="ru-RU" w:bidi="ru-RU"/>
              </w:rPr>
              <w:t>НаименованиеТовара</w:t>
            </w:r>
            <w:r>
              <w:rPr>
                <w:b/>
                <w:bCs/>
                <w:color w:val="000000"/>
                <w:spacing w:val="0"/>
                <w:w w:val="100"/>
                <w:position w:val="0"/>
                <w:sz w:val="24"/>
                <w:szCs w:val="24"/>
                <w:shd w:val="clear" w:color="auto" w:fill="auto"/>
                <w:vertAlign w:val="superscript"/>
                <w:lang w:val="ru-RU" w:eastAsia="ru-RU" w:bidi="ru-RU"/>
              </w:rPr>
              <w:t>1</w:t>
            </w:r>
          </w:p>
        </w:tc>
        <w:tc>
          <w:tcPr>
            <w:tcBorders>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Наименован ие по КТРУ</w:t>
            </w:r>
            <w:r>
              <w:rPr>
                <w:color w:val="000000"/>
                <w:spacing w:val="0"/>
                <w:w w:val="100"/>
                <w:position w:val="0"/>
                <w:sz w:val="24"/>
                <w:szCs w:val="24"/>
                <w:shd w:val="clear" w:color="auto" w:fill="auto"/>
                <w:vertAlign w:val="superscript"/>
                <w:lang w:val="ru-RU" w:eastAsia="ru-RU" w:bidi="ru-RU"/>
              </w:rPr>
              <w:t>2</w:t>
            </w:r>
          </w:p>
        </w:tc>
        <w:tc>
          <w:tcPr>
            <w:tcBorders>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Наименование товара, описание функциональных и технических характеристик</w:t>
            </w:r>
            <w:r>
              <w:rPr>
                <w:color w:val="000000"/>
                <w:spacing w:val="0"/>
                <w:w w:val="100"/>
                <w:position w:val="0"/>
                <w:sz w:val="24"/>
                <w:szCs w:val="24"/>
                <w:shd w:val="clear" w:color="auto" w:fill="auto"/>
                <w:vertAlign w:val="superscript"/>
                <w:lang w:val="ru-RU" w:eastAsia="ru-RU" w:bidi="ru-RU"/>
              </w:rPr>
              <w:t>3</w:t>
            </w:r>
          </w:p>
        </w:tc>
      </w:tr>
      <w:tr>
        <w:trPr>
          <w:trHeight w:val="1598"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 xml:space="preserve">Подгузники для взрослых размер «8» (объем талии/бедер </w:t>
            </w:r>
            <w:r>
              <w:rPr>
                <w:i/>
                <w:iCs/>
                <w:color w:val="000000"/>
                <w:spacing w:val="0"/>
                <w:w w:val="100"/>
                <w:position w:val="0"/>
                <w:sz w:val="24"/>
                <w:szCs w:val="24"/>
                <w:shd w:val="clear" w:color="auto" w:fill="auto"/>
                <w:lang w:val="ru-RU" w:eastAsia="ru-RU" w:bidi="ru-RU"/>
              </w:rPr>
              <w:t>до 90 см включительно</w:t>
            </w:r>
            <w:r>
              <w:rPr>
                <w:color w:val="000000"/>
                <w:spacing w:val="0"/>
                <w:w w:val="100"/>
                <w:position w:val="0"/>
                <w:sz w:val="24"/>
                <w:szCs w:val="24"/>
                <w:shd w:val="clear" w:color="auto" w:fill="auto"/>
                <w:lang w:val="ru-RU" w:eastAsia="ru-RU" w:bidi="ru-RU"/>
              </w:rPr>
              <w:t>) 22-01-06</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8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17.22.12.130</w:t>
              <w:softHyphen/>
            </w:r>
          </w:p>
          <w:p>
            <w:pPr>
              <w:pStyle w:val="Style21"/>
              <w:keepNext w:val="0"/>
              <w:keepLines w:val="0"/>
              <w:widowControl w:val="0"/>
              <w:shd w:val="clear" w:color="auto" w:fill="auto"/>
              <w:bidi w:val="0"/>
              <w:spacing w:before="0" w:after="0" w:line="240" w:lineRule="auto"/>
              <w:ind w:left="0" w:right="0" w:firstLine="300"/>
              <w:jc w:val="left"/>
              <w:rPr>
                <w:sz w:val="24"/>
                <w:szCs w:val="24"/>
              </w:rPr>
            </w:pPr>
            <w:r>
              <w:rPr>
                <w:color w:val="000000"/>
                <w:spacing w:val="0"/>
                <w:w w:val="100"/>
                <w:position w:val="0"/>
                <w:sz w:val="24"/>
                <w:szCs w:val="24"/>
                <w:shd w:val="clear" w:color="auto" w:fill="auto"/>
                <w:lang w:val="ru-RU" w:eastAsia="ru-RU" w:bidi="ru-RU"/>
              </w:rPr>
              <w:t>00000001</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Подгузники для взрослых, размер «8» (объем талии/бедер до 90 см), с полным влагопоглощением не менее 1000* г, обратная сорбция не более 4,4* г, скорость впитывания не менее 2,3* см</w:t>
            </w:r>
            <w:r>
              <w:rPr>
                <w:b/>
                <w:bCs/>
                <w:color w:val="000000"/>
                <w:spacing w:val="0"/>
                <w:w w:val="100"/>
                <w:position w:val="0"/>
                <w:sz w:val="11"/>
                <w:szCs w:val="11"/>
                <w:shd w:val="clear" w:color="auto" w:fill="auto"/>
                <w:vertAlign w:val="superscript"/>
                <w:lang w:val="ru-RU" w:eastAsia="ru-RU" w:bidi="ru-RU"/>
              </w:rPr>
              <w:t>3</w:t>
            </w:r>
            <w:r>
              <w:rPr>
                <w:color w:val="000000"/>
                <w:spacing w:val="0"/>
                <w:w w:val="100"/>
                <w:position w:val="0"/>
                <w:sz w:val="24"/>
                <w:szCs w:val="24"/>
                <w:shd w:val="clear" w:color="auto" w:fill="auto"/>
                <w:lang w:val="ru-RU" w:eastAsia="ru-RU" w:bidi="ru-RU"/>
              </w:rPr>
              <w:t>/с.</w:t>
            </w:r>
          </w:p>
        </w:tc>
      </w:tr>
      <w:tr>
        <w:trPr>
          <w:trHeight w:val="1598"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 xml:space="preserve">Подгузники для взрослых размер «8» (объем талии/бедер до 90 см </w:t>
            </w:r>
            <w:r>
              <w:rPr>
                <w:i/>
                <w:iCs/>
                <w:color w:val="000000"/>
                <w:spacing w:val="0"/>
                <w:w w:val="100"/>
                <w:position w:val="0"/>
                <w:sz w:val="24"/>
                <w:szCs w:val="24"/>
                <w:shd w:val="clear" w:color="auto" w:fill="auto"/>
                <w:lang w:val="ru-RU" w:eastAsia="ru-RU" w:bidi="ru-RU"/>
              </w:rPr>
              <w:t>включительно</w:t>
            </w:r>
            <w:r>
              <w:rPr>
                <w:color w:val="000000"/>
                <w:spacing w:val="0"/>
                <w:w w:val="100"/>
                <w:position w:val="0"/>
                <w:sz w:val="24"/>
                <w:szCs w:val="24"/>
                <w:shd w:val="clear" w:color="auto" w:fill="auto"/>
                <w:lang w:val="ru-RU" w:eastAsia="ru-RU" w:bidi="ru-RU"/>
              </w:rPr>
              <w:t>) 22-01-07</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8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17.22.12.130</w:t>
              <w:softHyphen/>
            </w:r>
          </w:p>
          <w:p>
            <w:pPr>
              <w:pStyle w:val="Style21"/>
              <w:keepNext w:val="0"/>
              <w:keepLines w:val="0"/>
              <w:widowControl w:val="0"/>
              <w:shd w:val="clear" w:color="auto" w:fill="auto"/>
              <w:bidi w:val="0"/>
              <w:spacing w:before="0" w:after="0" w:line="240" w:lineRule="auto"/>
              <w:ind w:left="0" w:right="0" w:firstLine="300"/>
              <w:jc w:val="left"/>
              <w:rPr>
                <w:sz w:val="24"/>
                <w:szCs w:val="24"/>
              </w:rPr>
            </w:pPr>
            <w:r>
              <w:rPr>
                <w:color w:val="000000"/>
                <w:spacing w:val="0"/>
                <w:w w:val="100"/>
                <w:position w:val="0"/>
                <w:sz w:val="24"/>
                <w:szCs w:val="24"/>
                <w:shd w:val="clear" w:color="auto" w:fill="auto"/>
                <w:lang w:val="ru-RU" w:eastAsia="ru-RU" w:bidi="ru-RU"/>
              </w:rPr>
              <w:t>00000001</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Подгузники для взрослых, размер «8» (объем талии/бедер до 90 см), с полным влагопоглощением не менее 1400* г, обратная сорбция не более 4,4* г, скорость впитывания не менее 2,3* см</w:t>
            </w:r>
            <w:r>
              <w:rPr>
                <w:b/>
                <w:bCs/>
                <w:color w:val="000000"/>
                <w:spacing w:val="0"/>
                <w:w w:val="100"/>
                <w:position w:val="0"/>
                <w:sz w:val="11"/>
                <w:szCs w:val="11"/>
                <w:shd w:val="clear" w:color="auto" w:fill="auto"/>
                <w:vertAlign w:val="superscript"/>
                <w:lang w:val="ru-RU" w:eastAsia="ru-RU" w:bidi="ru-RU"/>
              </w:rPr>
              <w:t>3</w:t>
            </w:r>
            <w:r>
              <w:rPr>
                <w:color w:val="000000"/>
                <w:spacing w:val="0"/>
                <w:w w:val="100"/>
                <w:position w:val="0"/>
                <w:sz w:val="24"/>
                <w:szCs w:val="24"/>
                <w:shd w:val="clear" w:color="auto" w:fill="auto"/>
                <w:lang w:val="ru-RU" w:eastAsia="ru-RU" w:bidi="ru-RU"/>
              </w:rPr>
              <w:t>/с.</w:t>
            </w:r>
          </w:p>
        </w:tc>
      </w:tr>
      <w:tr>
        <w:trPr>
          <w:trHeight w:val="1603"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 xml:space="preserve">Подгузники для взрослых размер «М» (объем талии/бедер до 120 см </w:t>
            </w:r>
            <w:r>
              <w:rPr>
                <w:i/>
                <w:iCs/>
                <w:color w:val="000000"/>
                <w:spacing w:val="0"/>
                <w:w w:val="100"/>
                <w:position w:val="0"/>
                <w:sz w:val="24"/>
                <w:szCs w:val="24"/>
                <w:shd w:val="clear" w:color="auto" w:fill="auto"/>
                <w:lang w:val="ru-RU" w:eastAsia="ru-RU" w:bidi="ru-RU"/>
              </w:rPr>
              <w:t>включительно</w:t>
            </w:r>
            <w:r>
              <w:rPr>
                <w:color w:val="000000"/>
                <w:spacing w:val="0"/>
                <w:w w:val="100"/>
                <w:position w:val="0"/>
                <w:sz w:val="24"/>
                <w:szCs w:val="24"/>
                <w:shd w:val="clear" w:color="auto" w:fill="auto"/>
                <w:lang w:val="ru-RU" w:eastAsia="ru-RU" w:bidi="ru-RU"/>
              </w:rPr>
              <w:t>) 22-01-08</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8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17.22.12.130</w:t>
              <w:softHyphen/>
            </w:r>
          </w:p>
          <w:p>
            <w:pPr>
              <w:pStyle w:val="Style21"/>
              <w:keepNext w:val="0"/>
              <w:keepLines w:val="0"/>
              <w:widowControl w:val="0"/>
              <w:shd w:val="clear" w:color="auto" w:fill="auto"/>
              <w:bidi w:val="0"/>
              <w:spacing w:before="0" w:after="0" w:line="240" w:lineRule="auto"/>
              <w:ind w:left="0" w:right="0" w:firstLine="300"/>
              <w:jc w:val="left"/>
              <w:rPr>
                <w:sz w:val="24"/>
                <w:szCs w:val="24"/>
              </w:rPr>
            </w:pPr>
            <w:r>
              <w:rPr>
                <w:color w:val="000000"/>
                <w:spacing w:val="0"/>
                <w:w w:val="100"/>
                <w:position w:val="0"/>
                <w:sz w:val="24"/>
                <w:szCs w:val="24"/>
                <w:shd w:val="clear" w:color="auto" w:fill="auto"/>
                <w:lang w:val="ru-RU" w:eastAsia="ru-RU" w:bidi="ru-RU"/>
              </w:rPr>
              <w:t>00000001</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Подгузники для взрослых, размер «М» (объем талии/бедер до 120 см), с полным влагопоглощением не менее 1300* г, обратная сорбция не более 4,4* г, скорость впитывания не менее 2,3* см</w:t>
            </w:r>
            <w:r>
              <w:rPr>
                <w:b/>
                <w:bCs/>
                <w:color w:val="000000"/>
                <w:spacing w:val="0"/>
                <w:w w:val="100"/>
                <w:position w:val="0"/>
                <w:sz w:val="11"/>
                <w:szCs w:val="11"/>
                <w:shd w:val="clear" w:color="auto" w:fill="auto"/>
                <w:vertAlign w:val="superscript"/>
                <w:lang w:val="ru-RU" w:eastAsia="ru-RU" w:bidi="ru-RU"/>
              </w:rPr>
              <w:t>3</w:t>
            </w:r>
            <w:r>
              <w:rPr>
                <w:color w:val="000000"/>
                <w:spacing w:val="0"/>
                <w:w w:val="100"/>
                <w:position w:val="0"/>
                <w:sz w:val="24"/>
                <w:szCs w:val="24"/>
                <w:shd w:val="clear" w:color="auto" w:fill="auto"/>
                <w:lang w:val="ru-RU" w:eastAsia="ru-RU" w:bidi="ru-RU"/>
              </w:rPr>
              <w:t>/с.</w:t>
            </w:r>
          </w:p>
        </w:tc>
      </w:tr>
      <w:tr>
        <w:trPr>
          <w:trHeight w:val="1598"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Подгузники для взрослых размер «М» (объем талии/бедер до 120 см в</w:t>
            </w:r>
            <w:r>
              <w:rPr>
                <w:i/>
                <w:iCs/>
                <w:color w:val="000000"/>
                <w:spacing w:val="0"/>
                <w:w w:val="100"/>
                <w:position w:val="0"/>
                <w:sz w:val="24"/>
                <w:szCs w:val="24"/>
                <w:shd w:val="clear" w:color="auto" w:fill="auto"/>
                <w:lang w:val="ru-RU" w:eastAsia="ru-RU" w:bidi="ru-RU"/>
              </w:rPr>
              <w:t>ключительно</w:t>
            </w:r>
            <w:r>
              <w:rPr>
                <w:color w:val="000000"/>
                <w:spacing w:val="0"/>
                <w:w w:val="100"/>
                <w:position w:val="0"/>
                <w:sz w:val="24"/>
                <w:szCs w:val="24"/>
                <w:shd w:val="clear" w:color="auto" w:fill="auto"/>
                <w:lang w:val="ru-RU" w:eastAsia="ru-RU" w:bidi="ru-RU"/>
              </w:rPr>
              <w:t>) 22-01-09</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8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17.22.12.130</w:t>
              <w:softHyphen/>
            </w:r>
          </w:p>
          <w:p>
            <w:pPr>
              <w:pStyle w:val="Style21"/>
              <w:keepNext w:val="0"/>
              <w:keepLines w:val="0"/>
              <w:widowControl w:val="0"/>
              <w:shd w:val="clear" w:color="auto" w:fill="auto"/>
              <w:bidi w:val="0"/>
              <w:spacing w:before="0" w:after="0" w:line="240" w:lineRule="auto"/>
              <w:ind w:left="0" w:right="0" w:firstLine="300"/>
              <w:jc w:val="left"/>
              <w:rPr>
                <w:sz w:val="24"/>
                <w:szCs w:val="24"/>
              </w:rPr>
            </w:pPr>
            <w:r>
              <w:rPr>
                <w:color w:val="000000"/>
                <w:spacing w:val="0"/>
                <w:w w:val="100"/>
                <w:position w:val="0"/>
                <w:sz w:val="24"/>
                <w:szCs w:val="24"/>
                <w:shd w:val="clear" w:color="auto" w:fill="auto"/>
                <w:lang w:val="ru-RU" w:eastAsia="ru-RU" w:bidi="ru-RU"/>
              </w:rPr>
              <w:t>00000001</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Подгузники для взрослых, размер «М» (объем талии/бедер до 120 см), с полным влагопоглощением не менее 1800* г, скорость впитывания не менее 2,3* см</w:t>
            </w:r>
            <w:r>
              <w:rPr>
                <w:b/>
                <w:bCs/>
                <w:color w:val="000000"/>
                <w:spacing w:val="0"/>
                <w:w w:val="100"/>
                <w:position w:val="0"/>
                <w:sz w:val="11"/>
                <w:szCs w:val="11"/>
                <w:shd w:val="clear" w:color="auto" w:fill="auto"/>
                <w:vertAlign w:val="superscript"/>
                <w:lang w:val="ru-RU" w:eastAsia="ru-RU" w:bidi="ru-RU"/>
              </w:rPr>
              <w:t>3</w:t>
            </w:r>
            <w:r>
              <w:rPr>
                <w:color w:val="000000"/>
                <w:spacing w:val="0"/>
                <w:w w:val="100"/>
                <w:position w:val="0"/>
                <w:sz w:val="24"/>
                <w:szCs w:val="24"/>
                <w:shd w:val="clear" w:color="auto" w:fill="auto"/>
                <w:lang w:val="ru-RU" w:eastAsia="ru-RU" w:bidi="ru-RU"/>
              </w:rPr>
              <w:t>/с. обратная сорбция не более 4,4* г, скорость впитывания не менее 2,3* см</w:t>
            </w:r>
            <w:r>
              <w:rPr>
                <w:b/>
                <w:bCs/>
                <w:color w:val="000000"/>
                <w:spacing w:val="0"/>
                <w:w w:val="100"/>
                <w:position w:val="0"/>
                <w:sz w:val="11"/>
                <w:szCs w:val="11"/>
                <w:shd w:val="clear" w:color="auto" w:fill="auto"/>
                <w:vertAlign w:val="superscript"/>
                <w:lang w:val="ru-RU" w:eastAsia="ru-RU" w:bidi="ru-RU"/>
              </w:rPr>
              <w:t>3</w:t>
            </w:r>
            <w:r>
              <w:rPr>
                <w:color w:val="000000"/>
                <w:spacing w:val="0"/>
                <w:w w:val="100"/>
                <w:position w:val="0"/>
                <w:sz w:val="24"/>
                <w:szCs w:val="24"/>
                <w:shd w:val="clear" w:color="auto" w:fill="auto"/>
                <w:lang w:val="ru-RU" w:eastAsia="ru-RU" w:bidi="ru-RU"/>
              </w:rPr>
              <w:t>/с.</w:t>
            </w:r>
          </w:p>
        </w:tc>
      </w:tr>
      <w:tr>
        <w:trPr>
          <w:trHeight w:val="1598"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 xml:space="preserve">Подгузники для взрослых размер «Ъ» (объем талии/бедер до 150 см </w:t>
            </w:r>
            <w:r>
              <w:rPr>
                <w:i/>
                <w:iCs/>
                <w:color w:val="000000"/>
                <w:spacing w:val="0"/>
                <w:w w:val="100"/>
                <w:position w:val="0"/>
                <w:sz w:val="24"/>
                <w:szCs w:val="24"/>
                <w:shd w:val="clear" w:color="auto" w:fill="auto"/>
                <w:lang w:val="ru-RU" w:eastAsia="ru-RU" w:bidi="ru-RU"/>
              </w:rPr>
              <w:t>включительно</w:t>
            </w:r>
            <w:r>
              <w:rPr>
                <w:color w:val="000000"/>
                <w:spacing w:val="0"/>
                <w:w w:val="100"/>
                <w:position w:val="0"/>
                <w:sz w:val="24"/>
                <w:szCs w:val="24"/>
                <w:shd w:val="clear" w:color="auto" w:fill="auto"/>
                <w:lang w:val="ru-RU" w:eastAsia="ru-RU" w:bidi="ru-RU"/>
              </w:rPr>
              <w:t>) 22-01-10</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8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17.22.12.130</w:t>
              <w:softHyphen/>
            </w:r>
          </w:p>
          <w:p>
            <w:pPr>
              <w:pStyle w:val="Style21"/>
              <w:keepNext w:val="0"/>
              <w:keepLines w:val="0"/>
              <w:widowControl w:val="0"/>
              <w:shd w:val="clear" w:color="auto" w:fill="auto"/>
              <w:bidi w:val="0"/>
              <w:spacing w:before="0" w:after="0" w:line="240" w:lineRule="auto"/>
              <w:ind w:left="0" w:right="0" w:firstLine="300"/>
              <w:jc w:val="left"/>
              <w:rPr>
                <w:sz w:val="24"/>
                <w:szCs w:val="24"/>
              </w:rPr>
            </w:pPr>
            <w:r>
              <w:rPr>
                <w:color w:val="000000"/>
                <w:spacing w:val="0"/>
                <w:w w:val="100"/>
                <w:position w:val="0"/>
                <w:sz w:val="24"/>
                <w:szCs w:val="24"/>
                <w:shd w:val="clear" w:color="auto" w:fill="auto"/>
                <w:lang w:val="ru-RU" w:eastAsia="ru-RU" w:bidi="ru-RU"/>
              </w:rPr>
              <w:t>00000001</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Подгузники для взрослых, размер «Ь» (объем талии/бедер до 150 см), с полным влагопоглощением не менее 1450* г, обратная сорбция не более 4,4* г, скорость впитывания не менее 2,3* см</w:t>
            </w:r>
            <w:r>
              <w:rPr>
                <w:b/>
                <w:bCs/>
                <w:color w:val="000000"/>
                <w:spacing w:val="0"/>
                <w:w w:val="100"/>
                <w:position w:val="0"/>
                <w:sz w:val="11"/>
                <w:szCs w:val="11"/>
                <w:shd w:val="clear" w:color="auto" w:fill="auto"/>
                <w:vertAlign w:val="superscript"/>
                <w:lang w:val="ru-RU" w:eastAsia="ru-RU" w:bidi="ru-RU"/>
              </w:rPr>
              <w:t>3</w:t>
            </w:r>
            <w:r>
              <w:rPr>
                <w:color w:val="000000"/>
                <w:spacing w:val="0"/>
                <w:w w:val="100"/>
                <w:position w:val="0"/>
                <w:sz w:val="24"/>
                <w:szCs w:val="24"/>
                <w:shd w:val="clear" w:color="auto" w:fill="auto"/>
                <w:lang w:val="ru-RU" w:eastAsia="ru-RU" w:bidi="ru-RU"/>
              </w:rPr>
              <w:t>/с.</w:t>
            </w:r>
          </w:p>
        </w:tc>
      </w:tr>
      <w:tr>
        <w:trPr>
          <w:trHeight w:val="782" w:hRule="exact"/>
        </w:trPr>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Подгузники для взрослых размер «Ъ»</w:t>
            </w: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17.22.12.130</w:t>
              <w:softHyphen/>
            </w:r>
          </w:p>
          <w:p>
            <w:pPr>
              <w:pStyle w:val="Style21"/>
              <w:keepNext w:val="0"/>
              <w:keepLines w:val="0"/>
              <w:widowControl w:val="0"/>
              <w:shd w:val="clear" w:color="auto" w:fill="auto"/>
              <w:bidi w:val="0"/>
              <w:spacing w:before="0" w:after="0" w:line="240" w:lineRule="auto"/>
              <w:ind w:left="0" w:right="0" w:firstLine="300"/>
              <w:jc w:val="left"/>
              <w:rPr>
                <w:sz w:val="24"/>
                <w:szCs w:val="24"/>
              </w:rPr>
            </w:pPr>
            <w:r>
              <w:rPr>
                <w:color w:val="000000"/>
                <w:spacing w:val="0"/>
                <w:w w:val="100"/>
                <w:position w:val="0"/>
                <w:sz w:val="24"/>
                <w:szCs w:val="24"/>
                <w:shd w:val="clear" w:color="auto" w:fill="auto"/>
                <w:lang w:val="ru-RU" w:eastAsia="ru-RU" w:bidi="ru-RU"/>
              </w:rPr>
              <w:t>00000001</w:t>
            </w:r>
          </w:p>
        </w:tc>
        <w:tc>
          <w:tcPr>
            <w:tcBorders>
              <w:top w:val="single" w:sz="4"/>
              <w:left w:val="single" w:sz="4"/>
              <w:bottom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Подгузники для взрослых, размер «Ь» (объем талии/бедер до 150 см), с полным влагопоглощением</w:t>
            </w:r>
          </w:p>
        </w:tc>
      </w:tr>
    </w:tbl>
    <w:p>
      <w:pPr>
        <w:sectPr>
          <w:footnotePr>
            <w:pos w:val="pageBottom"/>
            <w:numFmt w:val="decimal"/>
            <w:numRestart w:val="continuous"/>
          </w:footnotePr>
          <w:type w:val="continuous"/>
          <w:pgSz w:w="11900" w:h="16840"/>
          <w:pgMar w:top="1017" w:right="537" w:bottom="1006" w:left="1100" w:header="0" w:footer="3" w:gutter="0"/>
          <w:cols w:space="720"/>
          <w:noEndnote/>
          <w:rtlGutter w:val="0"/>
          <w:docGrid w:linePitch="360"/>
        </w:sectPr>
      </w:pPr>
    </w:p>
    <w:tbl>
      <w:tblPr>
        <w:tblOverlap w:val="never"/>
        <w:jc w:val="center"/>
        <w:tblLayout w:type="fixed"/>
      </w:tblPr>
      <w:tblGrid>
        <w:gridCol w:w="2664"/>
        <w:gridCol w:w="1565"/>
        <w:gridCol w:w="5870"/>
      </w:tblGrid>
      <w:tr>
        <w:trPr>
          <w:trHeight w:val="1051"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 xml:space="preserve">(объем талии/бедер до 150 см </w:t>
            </w:r>
            <w:r>
              <w:rPr>
                <w:i/>
                <w:iCs/>
                <w:color w:val="000000"/>
                <w:spacing w:val="0"/>
                <w:w w:val="100"/>
                <w:position w:val="0"/>
                <w:sz w:val="24"/>
                <w:szCs w:val="24"/>
                <w:shd w:val="clear" w:color="auto" w:fill="auto"/>
                <w:lang w:val="ru-RU" w:eastAsia="ru-RU" w:bidi="ru-RU"/>
              </w:rPr>
              <w:t>включительно</w:t>
            </w:r>
            <w:r>
              <w:rPr>
                <w:color w:val="000000"/>
                <w:spacing w:val="0"/>
                <w:w w:val="100"/>
                <w:position w:val="0"/>
                <w:sz w:val="24"/>
                <w:szCs w:val="24"/>
                <w:shd w:val="clear" w:color="auto" w:fill="auto"/>
                <w:lang w:val="ru-RU" w:eastAsia="ru-RU" w:bidi="ru-RU"/>
              </w:rPr>
              <w:t>) 22-01-11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не менее 2000* г, обратная сорбция не более 4,4* г, скорость впитывания не менее 2,3* см</w:t>
            </w:r>
            <w:r>
              <w:rPr>
                <w:b/>
                <w:bCs/>
                <w:color w:val="000000"/>
                <w:spacing w:val="0"/>
                <w:w w:val="100"/>
                <w:position w:val="0"/>
                <w:sz w:val="11"/>
                <w:szCs w:val="11"/>
                <w:shd w:val="clear" w:color="auto" w:fill="auto"/>
                <w:vertAlign w:val="superscript"/>
                <w:lang w:val="ru-RU" w:eastAsia="ru-RU" w:bidi="ru-RU"/>
              </w:rPr>
              <w:t>3</w:t>
            </w:r>
            <w:r>
              <w:rPr>
                <w:color w:val="000000"/>
                <w:spacing w:val="0"/>
                <w:w w:val="100"/>
                <w:position w:val="0"/>
                <w:sz w:val="24"/>
                <w:szCs w:val="24"/>
                <w:shd w:val="clear" w:color="auto" w:fill="auto"/>
                <w:lang w:val="ru-RU" w:eastAsia="ru-RU" w:bidi="ru-RU"/>
              </w:rPr>
              <w:t>/с.</w:t>
            </w:r>
          </w:p>
        </w:tc>
      </w:tr>
      <w:tr>
        <w:trPr>
          <w:trHeight w:val="1603"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 xml:space="preserve">Подгузники для взрослых размер «ХЕ» (объем талии/бедер до 175 см </w:t>
            </w:r>
            <w:r>
              <w:rPr>
                <w:i/>
                <w:iCs/>
                <w:color w:val="000000"/>
                <w:spacing w:val="0"/>
                <w:w w:val="100"/>
                <w:position w:val="0"/>
                <w:sz w:val="24"/>
                <w:szCs w:val="24"/>
                <w:shd w:val="clear" w:color="auto" w:fill="auto"/>
                <w:lang w:val="ru-RU" w:eastAsia="ru-RU" w:bidi="ru-RU"/>
              </w:rPr>
              <w:t xml:space="preserve">включительно) </w:t>
            </w:r>
            <w:r>
              <w:rPr>
                <w:color w:val="000000"/>
                <w:spacing w:val="0"/>
                <w:w w:val="100"/>
                <w:position w:val="0"/>
                <w:sz w:val="24"/>
                <w:szCs w:val="24"/>
                <w:shd w:val="clear" w:color="auto" w:fill="auto"/>
                <w:lang w:val="ru-RU" w:eastAsia="ru-RU" w:bidi="ru-RU"/>
              </w:rPr>
              <w:t>22-01-12</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8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17.22.12.130</w:t>
              <w:softHyphen/>
            </w:r>
          </w:p>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00000001</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Подгузники для взрослых, размер «XI.» (объем талии/бедер до 175 см), с полным влагопоглощением не менее 1450* г, обратная сорбция не более 4,4*г, скорость впитывания не менее 2,3* см</w:t>
            </w:r>
            <w:r>
              <w:rPr>
                <w:b/>
                <w:bCs/>
                <w:color w:val="000000"/>
                <w:spacing w:val="0"/>
                <w:w w:val="100"/>
                <w:position w:val="0"/>
                <w:sz w:val="11"/>
                <w:szCs w:val="11"/>
                <w:shd w:val="clear" w:color="auto" w:fill="auto"/>
                <w:vertAlign w:val="superscript"/>
                <w:lang w:val="ru-RU" w:eastAsia="ru-RU" w:bidi="ru-RU"/>
              </w:rPr>
              <w:t>3</w:t>
            </w:r>
            <w:r>
              <w:rPr>
                <w:color w:val="000000"/>
                <w:spacing w:val="0"/>
                <w:w w:val="100"/>
                <w:position w:val="0"/>
                <w:sz w:val="24"/>
                <w:szCs w:val="24"/>
                <w:shd w:val="clear" w:color="auto" w:fill="auto"/>
                <w:lang w:val="ru-RU" w:eastAsia="ru-RU" w:bidi="ru-RU"/>
              </w:rPr>
              <w:t>/с.</w:t>
            </w:r>
          </w:p>
        </w:tc>
      </w:tr>
      <w:tr>
        <w:trPr>
          <w:trHeight w:val="1603" w:hRule="exact"/>
        </w:trPr>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 xml:space="preserve">Подгузники для взрослых размер «XI.» (объем талии/бедер до 175 см </w:t>
            </w:r>
            <w:r>
              <w:rPr>
                <w:i/>
                <w:iCs/>
                <w:color w:val="000000"/>
                <w:spacing w:val="0"/>
                <w:w w:val="100"/>
                <w:position w:val="0"/>
                <w:sz w:val="24"/>
                <w:szCs w:val="24"/>
                <w:shd w:val="clear" w:color="auto" w:fill="auto"/>
                <w:lang w:val="ru-RU" w:eastAsia="ru-RU" w:bidi="ru-RU"/>
              </w:rPr>
              <w:t>включительно</w:t>
            </w:r>
            <w:r>
              <w:rPr>
                <w:color w:val="000000"/>
                <w:spacing w:val="0"/>
                <w:w w:val="100"/>
                <w:position w:val="0"/>
                <w:sz w:val="24"/>
                <w:szCs w:val="24"/>
                <w:shd w:val="clear" w:color="auto" w:fill="auto"/>
                <w:lang w:val="ru-RU" w:eastAsia="ru-RU" w:bidi="ru-RU"/>
              </w:rPr>
              <w:t>) 22-01-13</w:t>
            </w:r>
          </w:p>
        </w:tc>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8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17.22.12.130</w:t>
              <w:softHyphen/>
            </w:r>
          </w:p>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00000001</w:t>
            </w:r>
          </w:p>
        </w:tc>
        <w:tc>
          <w:tcPr>
            <w:tcBorders>
              <w:top w:val="single" w:sz="4"/>
              <w:left w:val="single" w:sz="4"/>
              <w:bottom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Подгузники для взрослых размер «ХВ» (объем талии/бедер до 175 см включительно), с полным влагопоглощением не менее 2800* г, обратная сорбция не более 4,4* г., скорость впитывания не менее 2,3*см</w:t>
            </w:r>
            <w:r>
              <w:rPr>
                <w:b/>
                <w:bCs/>
                <w:color w:val="000000"/>
                <w:spacing w:val="0"/>
                <w:w w:val="100"/>
                <w:position w:val="0"/>
                <w:sz w:val="11"/>
                <w:szCs w:val="11"/>
                <w:shd w:val="clear" w:color="auto" w:fill="auto"/>
                <w:vertAlign w:val="superscript"/>
                <w:lang w:val="ru-RU" w:eastAsia="ru-RU" w:bidi="ru-RU"/>
              </w:rPr>
              <w:t>3</w:t>
            </w:r>
            <w:r>
              <w:rPr>
                <w:color w:val="000000"/>
                <w:spacing w:val="0"/>
                <w:w w:val="100"/>
                <w:position w:val="0"/>
                <w:sz w:val="24"/>
                <w:szCs w:val="24"/>
                <w:shd w:val="clear" w:color="auto" w:fill="auto"/>
                <w:lang w:val="ru-RU" w:eastAsia="ru-RU" w:bidi="ru-RU"/>
              </w:rPr>
              <w:t>/с</w:t>
            </w:r>
          </w:p>
        </w:tc>
      </w:tr>
    </w:tbl>
    <w:p>
      <w:pPr>
        <w:widowControl w:val="0"/>
        <w:spacing w:after="259" w:line="1" w:lineRule="exact"/>
      </w:pP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 содержит примечания: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w:t>
      </w:r>
      <w:r>
        <w:rPr>
          <w:b/>
          <w:bCs/>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В соответствии с Федеральным законом от 24.11.1995 № 181-ФЗ «О социальной защите инвалидов в Российской Федерации» обеспечение инвалидов техническими средствами реабилитации (далее - ТСР) осуществляется территориальными органами Фонда на основании индивидуальных программ реабилитации или абилитации инвалидов (далее - ИПРА), разрабатываемых федеральными учреждениями медико-социальной экспертизы и определяется Правилами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утвержденными постановлением Правительства Российской Федерации от 07.04.2008 № 240. </w:t>
      </w:r>
      <w:r>
        <w:rPr>
          <w:i/>
          <w:iCs/>
          <w:color w:val="000000"/>
          <w:spacing w:val="0"/>
          <w:w w:val="100"/>
          <w:position w:val="0"/>
          <w:shd w:val="clear" w:color="auto" w:fill="auto"/>
          <w:lang w:val="ru-RU" w:eastAsia="ru-RU" w:bidi="ru-RU"/>
        </w:rPr>
        <w:t>Наименование товара определено на основании Приказа Министерства труда и социальной защиты Российской Федерации от 13.02.2018г. № 86н</w:t>
      </w:r>
      <w:r>
        <w:rPr>
          <w:color w:val="000000"/>
          <w:spacing w:val="0"/>
          <w:w w:val="100"/>
          <w:position w:val="0"/>
          <w:shd w:val="clear" w:color="auto" w:fill="auto"/>
          <w:lang w:val="ru-RU" w:eastAsia="ru-RU" w:bidi="ru-RU"/>
        </w:rPr>
        <w:t xml:space="preserve"> «Об утверждении классификации технических средств реабилитации (изделий) в рамках федерального перечня реабилитационных мероприятий, технических средств реабилитации и услуг, предоставляемых инвалиду, утвержденного распоряжением Правительства Российской Федерации от 30 декабря 2005г. № 2347-р».</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vertAlign w:val="superscript"/>
          <w:lang w:val="ru-RU" w:eastAsia="ru-RU" w:bidi="ru-RU"/>
        </w:rPr>
        <w:t>2</w:t>
      </w:r>
      <w:r>
        <w:rPr>
          <w:color w:val="000000"/>
          <w:spacing w:val="0"/>
          <w:w w:val="100"/>
          <w:position w:val="0"/>
          <w:shd w:val="clear" w:color="auto" w:fill="auto"/>
          <w:lang w:val="ru-RU" w:eastAsia="ru-RU" w:bidi="ru-RU"/>
        </w:rPr>
        <w:t xml:space="preserve"> В соответствии с Постановлением Правительства РФ от 08.02.2017 № 145 (ред. от 12.04.2018)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Заказчики обязаны применять информацию, включенную в позицию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vertAlign w:val="superscript"/>
          <w:lang w:val="ru-RU" w:eastAsia="ru-RU" w:bidi="ru-RU"/>
        </w:rPr>
        <w:t>3</w:t>
      </w:r>
      <w:r>
        <w:rPr>
          <w:color w:val="000000"/>
          <w:spacing w:val="0"/>
          <w:w w:val="100"/>
          <w:position w:val="0"/>
          <w:shd w:val="clear" w:color="auto" w:fill="auto"/>
          <w:lang w:val="ru-RU" w:eastAsia="ru-RU" w:bidi="ru-RU"/>
        </w:rPr>
        <w:t>В техническом задании используются требования к объекту закупки на основании пунктов 1, 2 ч.1 ст. 33 44-ФЗ, связанные с потребностью Заказчика по обеспечению инвалидов техническими средствами реабилитации и использование показателей и требований обусловлено необходимостью приобретения технических средств реабилитации в качестве устройств, содержащих технические решения, используемые для компенсации или устранения стойких ограничений жизнедеятельности инвалидов».</w:t>
      </w:r>
    </w:p>
    <w:p>
      <w:pPr>
        <w:pStyle w:val="Style13"/>
        <w:keepNext w:val="0"/>
        <w:keepLines w:val="0"/>
        <w:widowControl w:val="0"/>
        <w:shd w:val="clear" w:color="auto" w:fill="auto"/>
        <w:bidi w:val="0"/>
        <w:spacing w:before="0" w:after="0" w:line="290" w:lineRule="auto"/>
        <w:ind w:left="0" w:right="0" w:firstLine="720"/>
        <w:jc w:val="both"/>
        <w:rPr>
          <w:sz w:val="24"/>
          <w:szCs w:val="24"/>
        </w:rPr>
      </w:pPr>
      <w:r>
        <w:rPr>
          <w:b/>
          <w:bCs/>
          <w:color w:val="000000"/>
          <w:spacing w:val="0"/>
          <w:w w:val="100"/>
          <w:position w:val="0"/>
          <w:sz w:val="26"/>
          <w:szCs w:val="26"/>
          <w:shd w:val="clear" w:color="auto" w:fill="auto"/>
          <w:lang w:val="ru-RU" w:eastAsia="ru-RU" w:bidi="ru-RU"/>
        </w:rPr>
        <w:t xml:space="preserve">2.1.1. </w:t>
      </w:r>
      <w:r>
        <w:rPr>
          <w:color w:val="000000"/>
          <w:spacing w:val="0"/>
          <w:w w:val="100"/>
          <w:position w:val="0"/>
          <w:sz w:val="26"/>
          <w:szCs w:val="26"/>
          <w:shd w:val="clear" w:color="auto" w:fill="auto"/>
          <w:lang w:val="ru-RU" w:eastAsia="ru-RU" w:bidi="ru-RU"/>
        </w:rPr>
        <w:t xml:space="preserve">Приказом Минтруда России от 13.02.2018 № 86н утверждена Классификация технических средств реабилитации (изделий) в рамках федерального перечня реабилитационных мероприятий, технических средств реабилитации и услуг, </w:t>
      </w:r>
      <w:r>
        <w:rPr>
          <w:color w:val="000000"/>
          <w:spacing w:val="0"/>
          <w:w w:val="100"/>
          <w:position w:val="0"/>
          <w:sz w:val="24"/>
          <w:szCs w:val="24"/>
          <w:shd w:val="clear" w:color="auto" w:fill="auto"/>
          <w:lang w:val="ru-RU" w:eastAsia="ru-RU" w:bidi="ru-RU"/>
        </w:rPr>
        <w:t>2024-300</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предоставляемых инвалиду, утвержденного распоряжением Правительства Российской Федерации от 30 декабря 2005 г. № 2347-р (далее - Классификация технических средств реабилитации (изделий).</w:t>
      </w:r>
    </w:p>
    <w:p>
      <w:pPr>
        <w:pStyle w:val="Style28"/>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Пункт 22 «Абсорбирующее белье, подгузники» Классификации технических средств реабилитации (изделий) включает в себя, в том числе, вид и наименование технического средства реабилитации (изделия), рекомендованного индивидуальной программой реабилитации или абилитации инвалида (заключением об обеспечении ветерана изделиями):</w:t>
      </w:r>
      <w:bookmarkEnd w:id="0"/>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80" w:line="240" w:lineRule="auto"/>
        <w:ind w:left="0" w:right="0" w:firstLine="0"/>
        <w:jc w:val="both"/>
      </w:pPr>
      <w:r>
        <w:rPr>
          <w:color w:val="000000"/>
          <w:spacing w:val="0"/>
          <w:w w:val="100"/>
          <w:position w:val="0"/>
          <w:shd w:val="clear" w:color="auto" w:fill="auto"/>
          <w:lang w:val="ru-RU" w:eastAsia="ru-RU" w:bidi="ru-RU"/>
        </w:rPr>
        <w:t>Подгузники для взрослых, размер «Х8» (объем талии/бедер до 60 см), с полным влагопоглощением не менее 1000 г</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80" w:line="240" w:lineRule="auto"/>
        <w:ind w:left="0" w:right="0" w:firstLine="0"/>
        <w:jc w:val="both"/>
      </w:pPr>
      <w:r>
        <w:rPr>
          <w:color w:val="000000"/>
          <w:spacing w:val="0"/>
          <w:w w:val="100"/>
          <w:position w:val="0"/>
          <w:shd w:val="clear" w:color="auto" w:fill="auto"/>
          <w:lang w:val="ru-RU" w:eastAsia="ru-RU" w:bidi="ru-RU"/>
        </w:rPr>
        <w:t>Подгузники для взрослых, размер «Х8» (объем талии/бедер до 60 см), с полным влагопоглощением не менее 1200 г</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80" w:line="240" w:lineRule="auto"/>
        <w:ind w:left="0" w:right="0" w:firstLine="0"/>
        <w:jc w:val="both"/>
      </w:pPr>
      <w:r>
        <w:rPr>
          <w:color w:val="000000"/>
          <w:spacing w:val="0"/>
          <w:w w:val="100"/>
          <w:position w:val="0"/>
          <w:shd w:val="clear" w:color="auto" w:fill="auto"/>
          <w:lang w:val="ru-RU" w:eastAsia="ru-RU" w:bidi="ru-RU"/>
        </w:rPr>
        <w:t>Подгузники для взрослых, размер «8» (объем талии/бедер до 90 см), с полным влагопоглощением не менее 1000 г</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80" w:line="240" w:lineRule="auto"/>
        <w:ind w:left="0" w:right="0" w:firstLine="0"/>
        <w:jc w:val="both"/>
      </w:pPr>
      <w:r>
        <w:rPr>
          <w:color w:val="000000"/>
          <w:spacing w:val="0"/>
          <w:w w:val="100"/>
          <w:position w:val="0"/>
          <w:shd w:val="clear" w:color="auto" w:fill="auto"/>
          <w:lang w:val="ru-RU" w:eastAsia="ru-RU" w:bidi="ru-RU"/>
        </w:rPr>
        <w:t>Подгузники для взрослых, размер «8» (объем талии/бедер до 90 см), с полным влагопоглощением не менее 1400 г</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80" w:line="240" w:lineRule="auto"/>
        <w:ind w:left="0" w:right="0" w:firstLine="0"/>
        <w:jc w:val="both"/>
      </w:pPr>
      <w:r>
        <w:rPr>
          <w:color w:val="000000"/>
          <w:spacing w:val="0"/>
          <w:w w:val="100"/>
          <w:position w:val="0"/>
          <w:shd w:val="clear" w:color="auto" w:fill="auto"/>
          <w:lang w:val="ru-RU" w:eastAsia="ru-RU" w:bidi="ru-RU"/>
        </w:rPr>
        <w:t>Подгузники для взрослых, размер «М» (объем талии/бедер до 120 см), с полным влагопоглощением не менее 1300 г</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80" w:line="240" w:lineRule="auto"/>
        <w:ind w:left="0" w:right="0" w:firstLine="0"/>
        <w:jc w:val="both"/>
      </w:pPr>
      <w:r>
        <w:rPr>
          <w:color w:val="000000"/>
          <w:spacing w:val="0"/>
          <w:w w:val="100"/>
          <w:position w:val="0"/>
          <w:shd w:val="clear" w:color="auto" w:fill="auto"/>
          <w:lang w:val="ru-RU" w:eastAsia="ru-RU" w:bidi="ru-RU"/>
        </w:rPr>
        <w:t>Подгузники для взрослых, размер «М» (объем талии/бедер до 120 см), с полным влагопоглощением не менее 1800 г</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80" w:line="240" w:lineRule="auto"/>
        <w:ind w:left="0" w:right="0" w:firstLine="0"/>
        <w:jc w:val="both"/>
      </w:pPr>
      <w:r>
        <w:rPr>
          <w:color w:val="000000"/>
          <w:spacing w:val="0"/>
          <w:w w:val="100"/>
          <w:position w:val="0"/>
          <w:shd w:val="clear" w:color="auto" w:fill="auto"/>
          <w:lang w:val="ru-RU" w:eastAsia="ru-RU" w:bidi="ru-RU"/>
        </w:rPr>
        <w:t>Подгузники для взрослых, размер &lt;^» (объем талии/бедер до 150 см), с полным влагопоглощением не менее 1450 г</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80" w:line="240" w:lineRule="auto"/>
        <w:ind w:left="0" w:right="0" w:firstLine="0"/>
        <w:jc w:val="both"/>
      </w:pPr>
      <w:r>
        <w:rPr>
          <w:color w:val="000000"/>
          <w:spacing w:val="0"/>
          <w:w w:val="100"/>
          <w:position w:val="0"/>
          <w:shd w:val="clear" w:color="auto" w:fill="auto"/>
          <w:lang w:val="ru-RU" w:eastAsia="ru-RU" w:bidi="ru-RU"/>
        </w:rPr>
        <w:t>Подгузники для взрослых, размер &lt;^» (объем талии/бедер до 150 см), с полным влагопоглощением не менее 2000 г</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80" w:line="240" w:lineRule="auto"/>
        <w:ind w:left="0" w:right="0" w:firstLine="0"/>
        <w:jc w:val="both"/>
      </w:pPr>
      <w:r>
        <w:rPr>
          <w:color w:val="000000"/>
          <w:spacing w:val="0"/>
          <w:w w:val="100"/>
          <w:position w:val="0"/>
          <w:shd w:val="clear" w:color="auto" w:fill="auto"/>
          <w:lang w:val="ru-RU" w:eastAsia="ru-RU" w:bidi="ru-RU"/>
        </w:rPr>
        <w:t>Подгузники для взрослых, размер «XI.» (объем талии/бедер до 175 см), с полным влагопоглощением не менее 1450 г</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360" w:line="240" w:lineRule="auto"/>
        <w:ind w:left="0" w:right="0" w:firstLine="0"/>
        <w:jc w:val="both"/>
      </w:pPr>
      <w:r>
        <w:rPr>
          <w:color w:val="000000"/>
          <w:spacing w:val="0"/>
          <w:w w:val="100"/>
          <w:position w:val="0"/>
          <w:shd w:val="clear" w:color="auto" w:fill="auto"/>
          <w:lang w:val="ru-RU" w:eastAsia="ru-RU" w:bidi="ru-RU"/>
        </w:rPr>
        <w:t>Подгузники для взрослых, размер «XI.» (объем талии/бедер до 175 см), с полным влагопоглощением не менее 2800 г</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Таким образом, в столбце 1 «Наименование товара» таблицы Описания объекта закупки указаны размеры талии/бедер: «до __ см </w:t>
      </w:r>
      <w:r>
        <w:rPr>
          <w:i/>
          <w:iCs/>
          <w:color w:val="000000"/>
          <w:spacing w:val="0"/>
          <w:w w:val="100"/>
          <w:position w:val="0"/>
          <w:shd w:val="clear" w:color="auto" w:fill="auto"/>
          <w:lang w:val="ru-RU" w:eastAsia="ru-RU" w:bidi="ru-RU"/>
        </w:rPr>
        <w:t>включительно</w:t>
      </w:r>
      <w:r>
        <w:rPr>
          <w:color w:val="000000"/>
          <w:spacing w:val="0"/>
          <w:w w:val="100"/>
          <w:position w:val="0"/>
          <w:shd w:val="clear" w:color="auto" w:fill="auto"/>
          <w:lang w:val="ru-RU" w:eastAsia="ru-RU" w:bidi="ru-RU"/>
        </w:rPr>
        <w:t>», не соответствующие размерам товара, содержащегося в пункте 22 «Абсорбирующее белье, подгузники» Классификации технических средств реабилитации (изделий), а также в столбце 3 «Наименование товара, описание функциональных и технических характеристик» Описания объекта закупки (без слова «включительно»), что не соответствует части 3 статьи 7 Закона о контрактной системе.</w:t>
      </w:r>
    </w:p>
    <w:p>
      <w:pPr>
        <w:pStyle w:val="Style13"/>
        <w:keepNext w:val="0"/>
        <w:keepLines w:val="0"/>
        <w:widowControl w:val="0"/>
        <w:shd w:val="clear" w:color="auto" w:fill="auto"/>
        <w:bidi w:val="0"/>
        <w:spacing w:before="0" w:after="180" w:line="295" w:lineRule="auto"/>
        <w:ind w:left="0" w:right="0" w:firstLine="740"/>
        <w:jc w:val="both"/>
        <w:rPr>
          <w:sz w:val="24"/>
          <w:szCs w:val="24"/>
        </w:rPr>
        <w:sectPr>
          <w:headerReference w:type="default" r:id="rId11"/>
          <w:footerReference w:type="default" r:id="rId12"/>
          <w:footnotePr>
            <w:pos w:val="pageBottom"/>
            <w:numFmt w:val="decimal"/>
            <w:numRestart w:val="continuous"/>
          </w:footnotePr>
          <w:pgSz w:w="11900" w:h="16840"/>
          <w:pgMar w:top="1666" w:right="537" w:bottom="773" w:left="1105" w:header="0" w:footer="345" w:gutter="0"/>
          <w:cols w:space="720"/>
          <w:noEndnote/>
          <w:rtlGutter w:val="0"/>
          <w:docGrid w:linePitch="360"/>
        </w:sectPr>
      </w:pPr>
      <w:r>
        <w:rPr>
          <w:b/>
          <w:bCs/>
          <w:color w:val="000000"/>
          <w:spacing w:val="0"/>
          <w:w w:val="100"/>
          <w:position w:val="0"/>
          <w:sz w:val="26"/>
          <w:szCs w:val="26"/>
          <w:shd w:val="clear" w:color="auto" w:fill="auto"/>
          <w:lang w:val="ru-RU" w:eastAsia="ru-RU" w:bidi="ru-RU"/>
        </w:rPr>
        <w:t xml:space="preserve">2.1.2. </w:t>
      </w:r>
      <w:r>
        <w:rPr>
          <w:color w:val="000000"/>
          <w:spacing w:val="0"/>
          <w:w w:val="100"/>
          <w:position w:val="0"/>
          <w:sz w:val="26"/>
          <w:szCs w:val="26"/>
          <w:shd w:val="clear" w:color="auto" w:fill="auto"/>
          <w:lang w:val="ru-RU" w:eastAsia="ru-RU" w:bidi="ru-RU"/>
        </w:rPr>
        <w:t xml:space="preserve">Приказом Росстандарта от 14.11.2012 ^ 780-ст утвержден и введен в действие «ГОСТ Р 55082-2012. Национальный стандарт Российской Федерации. Изделия бумажные медицинского назначения. Подгузники для взрослых. Общие технические условия» </w:t>
      </w:r>
      <w:r>
        <w:rPr>
          <w:color w:val="000000"/>
          <w:spacing w:val="0"/>
          <w:w w:val="100"/>
          <w:position w:val="0"/>
          <w:sz w:val="24"/>
          <w:szCs w:val="24"/>
          <w:shd w:val="clear" w:color="auto" w:fill="auto"/>
          <w:lang w:val="ru-RU" w:eastAsia="ru-RU" w:bidi="ru-RU"/>
        </w:rPr>
        <w:t>2024-300</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(далее - ГОСТ Р 55082-2012).</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пунктах 3.14, 3.16, 3.17 ГОСТ Р 55082-2012 содержатся термины и определения, в том числе определения:</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«-полное влагопоглощение: максимальное количество жидкости, которое может впитать подгузник без приложения внешней нагрузки.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-скорость впитывания: количество жидкости, впитываемое подгузником за 1 с.</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-обратная сорбция: количество жидкости, выделяемое из подгузника под воздействием внешней нагрузки (давления)».</w:t>
      </w:r>
    </w:p>
    <w:p>
      <w:pPr>
        <w:pStyle w:val="Style13"/>
        <w:keepNext w:val="0"/>
        <w:keepLines w:val="0"/>
        <w:widowControl w:val="0"/>
        <w:shd w:val="clear" w:color="auto" w:fill="auto"/>
        <w:tabs>
          <w:tab w:leader="underscore" w:pos="1005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В пункте 4.1 ГОСТ Р 55082-2012 содержится классификация подгузников в </w:t>
      </w:r>
      <w:r>
        <w:rPr>
          <w:color w:val="000000"/>
          <w:spacing w:val="0"/>
          <w:w w:val="100"/>
          <w:position w:val="0"/>
          <w:u w:val="single"/>
          <w:shd w:val="clear" w:color="auto" w:fill="auto"/>
          <w:lang w:val="ru-RU" w:eastAsia="ru-RU" w:bidi="ru-RU"/>
        </w:rPr>
        <w:t>зависимости от обхвата талии/бедер человека:</w:t>
      </w:r>
      <w:r>
        <w:rPr>
          <w:color w:val="000000"/>
          <w:spacing w:val="0"/>
          <w:w w:val="100"/>
          <w:position w:val="0"/>
          <w:shd w:val="clear" w:color="auto" w:fill="auto"/>
          <w:lang w:val="ru-RU" w:eastAsia="ru-RU" w:bidi="ru-RU"/>
        </w:rPr>
        <w:tab/>
      </w:r>
    </w:p>
    <w:tbl>
      <w:tblPr>
        <w:tblOverlap w:val="never"/>
        <w:jc w:val="center"/>
        <w:tblLayout w:type="fixed"/>
      </w:tblPr>
      <w:tblGrid>
        <w:gridCol w:w="4541"/>
        <w:gridCol w:w="5602"/>
      </w:tblGrid>
      <w:tr>
        <w:trPr>
          <w:trHeight w:val="523"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1160" w:right="0" w:firstLine="0"/>
              <w:jc w:val="left"/>
            </w:pPr>
            <w:r>
              <w:rPr>
                <w:color w:val="000000"/>
                <w:spacing w:val="0"/>
                <w:w w:val="100"/>
                <w:position w:val="0"/>
                <w:shd w:val="clear" w:color="auto" w:fill="auto"/>
                <w:lang w:val="ru-RU" w:eastAsia="ru-RU" w:bidi="ru-RU"/>
              </w:rPr>
              <w:t>Группа подгузников</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Размерный ряд по обхвату талии/бедер, см</w:t>
            </w:r>
          </w:p>
        </w:tc>
      </w:tr>
      <w:tr>
        <w:trPr>
          <w:trHeight w:val="2525"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160" w:line="240" w:lineRule="auto"/>
              <w:ind w:left="0" w:right="0" w:firstLine="340"/>
              <w:jc w:val="left"/>
            </w:pPr>
            <w:r>
              <w:rPr>
                <w:color w:val="000000"/>
                <w:spacing w:val="0"/>
                <w:w w:val="100"/>
                <w:position w:val="0"/>
                <w:shd w:val="clear" w:color="auto" w:fill="auto"/>
                <w:lang w:val="ru-RU" w:eastAsia="ru-RU" w:bidi="ru-RU"/>
              </w:rPr>
              <w:t>Сверхмалые</w:t>
            </w:r>
          </w:p>
          <w:p>
            <w:pPr>
              <w:pStyle w:val="Style21"/>
              <w:keepNext w:val="0"/>
              <w:keepLines w:val="0"/>
              <w:widowControl w:val="0"/>
              <w:shd w:val="clear" w:color="auto" w:fill="auto"/>
              <w:bidi w:val="0"/>
              <w:spacing w:before="0" w:after="160" w:line="240" w:lineRule="auto"/>
              <w:ind w:left="0" w:right="0" w:firstLine="340"/>
              <w:jc w:val="left"/>
            </w:pPr>
            <w:r>
              <w:rPr>
                <w:color w:val="000000"/>
                <w:spacing w:val="0"/>
                <w:w w:val="100"/>
                <w:position w:val="0"/>
                <w:shd w:val="clear" w:color="auto" w:fill="auto"/>
                <w:lang w:val="ru-RU" w:eastAsia="ru-RU" w:bidi="ru-RU"/>
              </w:rPr>
              <w:t>Малые</w:t>
            </w:r>
          </w:p>
          <w:p>
            <w:pPr>
              <w:pStyle w:val="Style21"/>
              <w:keepNext w:val="0"/>
              <w:keepLines w:val="0"/>
              <w:widowControl w:val="0"/>
              <w:shd w:val="clear" w:color="auto" w:fill="auto"/>
              <w:bidi w:val="0"/>
              <w:spacing w:before="0" w:after="160" w:line="240" w:lineRule="auto"/>
              <w:ind w:left="0" w:right="0" w:firstLine="340"/>
              <w:jc w:val="left"/>
            </w:pPr>
            <w:r>
              <w:rPr>
                <w:color w:val="000000"/>
                <w:spacing w:val="0"/>
                <w:w w:val="100"/>
                <w:position w:val="0"/>
                <w:shd w:val="clear" w:color="auto" w:fill="auto"/>
                <w:lang w:val="ru-RU" w:eastAsia="ru-RU" w:bidi="ru-RU"/>
              </w:rPr>
              <w:t>Средние</w:t>
            </w:r>
          </w:p>
          <w:p>
            <w:pPr>
              <w:pStyle w:val="Style21"/>
              <w:keepNext w:val="0"/>
              <w:keepLines w:val="0"/>
              <w:widowControl w:val="0"/>
              <w:shd w:val="clear" w:color="auto" w:fill="auto"/>
              <w:bidi w:val="0"/>
              <w:spacing w:before="0" w:after="160" w:line="240" w:lineRule="auto"/>
              <w:ind w:left="0" w:right="0" w:firstLine="340"/>
              <w:jc w:val="left"/>
            </w:pPr>
            <w:r>
              <w:rPr>
                <w:color w:val="000000"/>
                <w:spacing w:val="0"/>
                <w:w w:val="100"/>
                <w:position w:val="0"/>
                <w:shd w:val="clear" w:color="auto" w:fill="auto"/>
                <w:lang w:val="ru-RU" w:eastAsia="ru-RU" w:bidi="ru-RU"/>
              </w:rPr>
              <w:t>Большие</w:t>
            </w:r>
          </w:p>
          <w:p>
            <w:pPr>
              <w:pStyle w:val="Style21"/>
              <w:keepNext w:val="0"/>
              <w:keepLines w:val="0"/>
              <w:widowControl w:val="0"/>
              <w:shd w:val="clear" w:color="auto" w:fill="auto"/>
              <w:bidi w:val="0"/>
              <w:spacing w:before="0" w:after="160" w:line="240" w:lineRule="auto"/>
              <w:ind w:left="0" w:right="0" w:firstLine="340"/>
              <w:jc w:val="left"/>
            </w:pPr>
            <w:r>
              <w:rPr>
                <w:color w:val="000000"/>
                <w:spacing w:val="0"/>
                <w:w w:val="100"/>
                <w:position w:val="0"/>
                <w:shd w:val="clear" w:color="auto" w:fill="auto"/>
                <w:lang w:val="ru-RU" w:eastAsia="ru-RU" w:bidi="ru-RU"/>
              </w:rPr>
              <w:t>Сверхбольшие</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160" w:line="240" w:lineRule="auto"/>
              <w:ind w:left="0" w:right="0" w:firstLine="0"/>
              <w:jc w:val="center"/>
            </w:pPr>
            <w:r>
              <w:rPr>
                <w:color w:val="000000"/>
                <w:spacing w:val="0"/>
                <w:w w:val="100"/>
                <w:position w:val="0"/>
                <w:shd w:val="clear" w:color="auto" w:fill="auto"/>
                <w:lang w:val="ru-RU" w:eastAsia="ru-RU" w:bidi="ru-RU"/>
              </w:rPr>
              <w:t>До 60</w:t>
            </w:r>
          </w:p>
          <w:p>
            <w:pPr>
              <w:pStyle w:val="Style21"/>
              <w:keepNext w:val="0"/>
              <w:keepLines w:val="0"/>
              <w:widowControl w:val="0"/>
              <w:shd w:val="clear" w:color="auto" w:fill="auto"/>
              <w:bidi w:val="0"/>
              <w:spacing w:before="0" w:after="160" w:line="240" w:lineRule="auto"/>
              <w:ind w:left="0" w:right="0" w:firstLine="0"/>
              <w:jc w:val="center"/>
            </w:pPr>
            <w:r>
              <w:rPr>
                <w:color w:val="000000"/>
                <w:spacing w:val="0"/>
                <w:w w:val="100"/>
                <w:position w:val="0"/>
                <w:shd w:val="clear" w:color="auto" w:fill="auto"/>
                <w:lang w:val="ru-RU" w:eastAsia="ru-RU" w:bidi="ru-RU"/>
              </w:rPr>
              <w:t>До 90</w:t>
            </w:r>
          </w:p>
          <w:p>
            <w:pPr>
              <w:pStyle w:val="Style21"/>
              <w:keepNext w:val="0"/>
              <w:keepLines w:val="0"/>
              <w:widowControl w:val="0"/>
              <w:shd w:val="clear" w:color="auto" w:fill="auto"/>
              <w:bidi w:val="0"/>
              <w:spacing w:before="0" w:after="160" w:line="240" w:lineRule="auto"/>
              <w:ind w:left="0" w:right="0" w:firstLine="0"/>
              <w:jc w:val="center"/>
            </w:pPr>
            <w:r>
              <w:rPr>
                <w:color w:val="000000"/>
                <w:spacing w:val="0"/>
                <w:w w:val="100"/>
                <w:position w:val="0"/>
                <w:shd w:val="clear" w:color="auto" w:fill="auto"/>
                <w:lang w:val="ru-RU" w:eastAsia="ru-RU" w:bidi="ru-RU"/>
              </w:rPr>
              <w:t>До 120</w:t>
            </w:r>
          </w:p>
          <w:p>
            <w:pPr>
              <w:pStyle w:val="Style21"/>
              <w:keepNext w:val="0"/>
              <w:keepLines w:val="0"/>
              <w:widowControl w:val="0"/>
              <w:shd w:val="clear" w:color="auto" w:fill="auto"/>
              <w:bidi w:val="0"/>
              <w:spacing w:before="0" w:after="160" w:line="240" w:lineRule="auto"/>
              <w:ind w:left="0" w:right="0" w:firstLine="0"/>
              <w:jc w:val="center"/>
            </w:pPr>
            <w:r>
              <w:rPr>
                <w:color w:val="000000"/>
                <w:spacing w:val="0"/>
                <w:w w:val="100"/>
                <w:position w:val="0"/>
                <w:shd w:val="clear" w:color="auto" w:fill="auto"/>
                <w:lang w:val="ru-RU" w:eastAsia="ru-RU" w:bidi="ru-RU"/>
              </w:rPr>
              <w:t>До 150</w:t>
            </w:r>
          </w:p>
          <w:p>
            <w:pPr>
              <w:pStyle w:val="Style21"/>
              <w:keepNext w:val="0"/>
              <w:keepLines w:val="0"/>
              <w:widowControl w:val="0"/>
              <w:shd w:val="clear" w:color="auto" w:fill="auto"/>
              <w:bidi w:val="0"/>
              <w:spacing w:before="0" w:after="160" w:line="240" w:lineRule="auto"/>
              <w:ind w:left="0" w:right="0" w:firstLine="0"/>
              <w:jc w:val="center"/>
            </w:pPr>
            <w:r>
              <w:rPr>
                <w:color w:val="000000"/>
                <w:spacing w:val="0"/>
                <w:w w:val="100"/>
                <w:position w:val="0"/>
                <w:shd w:val="clear" w:color="auto" w:fill="auto"/>
                <w:lang w:val="ru-RU" w:eastAsia="ru-RU" w:bidi="ru-RU"/>
              </w:rPr>
              <w:t>До 175</w:t>
            </w:r>
          </w:p>
        </w:tc>
      </w:tr>
      <w:tr>
        <w:trPr>
          <w:trHeight w:val="2314" w:hRule="exact"/>
        </w:trPr>
        <w:tc>
          <w:tcPr>
            <w:gridSpan w:val="2"/>
            <w:tcBorders>
              <w:top w:val="single" w:sz="4"/>
              <w:left w:val="single" w:sz="4"/>
              <w:bottom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340"/>
              <w:jc w:val="both"/>
            </w:pPr>
            <w:r>
              <w:rPr>
                <w:color w:val="000000"/>
                <w:spacing w:val="0"/>
                <w:w w:val="100"/>
                <w:position w:val="0"/>
                <w:shd w:val="clear" w:color="auto" w:fill="auto"/>
                <w:lang w:val="ru-RU" w:eastAsia="ru-RU" w:bidi="ru-RU"/>
              </w:rPr>
              <w:t>Примечания</w:t>
            </w:r>
          </w:p>
          <w:p>
            <w:pPr>
              <w:pStyle w:val="Style21"/>
              <w:keepNext w:val="0"/>
              <w:keepLines w:val="0"/>
              <w:widowControl w:val="0"/>
              <w:numPr>
                <w:ilvl w:val="0"/>
                <w:numId w:val="3"/>
              </w:numPr>
              <w:shd w:val="clear" w:color="auto" w:fill="auto"/>
              <w:tabs>
                <w:tab w:pos="672" w:val="left"/>
              </w:tabs>
              <w:bidi w:val="0"/>
              <w:spacing w:before="0" w:after="0" w:line="240" w:lineRule="auto"/>
              <w:ind w:left="0" w:right="0" w:firstLine="340"/>
              <w:jc w:val="both"/>
            </w:pPr>
            <w:r>
              <w:rPr>
                <w:color w:val="000000"/>
                <w:spacing w:val="0"/>
                <w:w w:val="100"/>
                <w:position w:val="0"/>
                <w:shd w:val="clear" w:color="auto" w:fill="auto"/>
                <w:lang w:val="ru-RU" w:eastAsia="ru-RU" w:bidi="ru-RU"/>
              </w:rPr>
              <w:t>Классификация подгузников по группам и условные обозначения групп соответствуют условным обозначениям, принятым в международной практике. В условные обозначения могут быть включены номера подгузников в соответствии с национальной и/или международной практикой.</w:t>
            </w:r>
          </w:p>
          <w:p>
            <w:pPr>
              <w:pStyle w:val="Style21"/>
              <w:keepNext w:val="0"/>
              <w:keepLines w:val="0"/>
              <w:widowControl w:val="0"/>
              <w:numPr>
                <w:ilvl w:val="0"/>
                <w:numId w:val="3"/>
              </w:numPr>
              <w:shd w:val="clear" w:color="auto" w:fill="auto"/>
              <w:tabs>
                <w:tab w:pos="672" w:val="left"/>
              </w:tabs>
              <w:bidi w:val="0"/>
              <w:spacing w:before="0" w:after="0" w:line="240" w:lineRule="auto"/>
              <w:ind w:left="0" w:right="0" w:firstLine="340"/>
              <w:jc w:val="both"/>
            </w:pPr>
            <w:r>
              <w:rPr>
                <w:color w:val="000000"/>
                <w:spacing w:val="0"/>
                <w:w w:val="100"/>
                <w:position w:val="0"/>
                <w:shd w:val="clear" w:color="auto" w:fill="auto"/>
                <w:lang w:val="ru-RU" w:eastAsia="ru-RU" w:bidi="ru-RU"/>
              </w:rPr>
              <w:t>Допускаются другие варианты размерного ряда в каждой группе подгузников, устанавливаемые изготовителем.</w:t>
            </w:r>
          </w:p>
        </w:tc>
      </w:tr>
    </w:tbl>
    <w:p>
      <w:pPr>
        <w:widowControl w:val="0"/>
        <w:spacing w:line="1" w:lineRule="exact"/>
      </w:pPr>
    </w:p>
    <w:p>
      <w:pPr>
        <w:pStyle w:val="Style1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 пункту 5.10.2 ГОСТ Р 55082-2012 показатели, обеспечивающие функциональное назначение подгузников, должны соответствовать требованиям, указанным в таблице:</w:t>
      </w:r>
    </w:p>
    <w:tbl>
      <w:tblPr>
        <w:tblOverlap w:val="never"/>
        <w:jc w:val="center"/>
        <w:tblLayout w:type="fixed"/>
      </w:tblPr>
      <w:tblGrid>
        <w:gridCol w:w="2155"/>
        <w:gridCol w:w="850"/>
        <w:gridCol w:w="682"/>
        <w:gridCol w:w="677"/>
        <w:gridCol w:w="797"/>
        <w:gridCol w:w="624"/>
        <w:gridCol w:w="1085"/>
        <w:gridCol w:w="994"/>
        <w:gridCol w:w="850"/>
        <w:gridCol w:w="1421"/>
      </w:tblGrid>
      <w:tr>
        <w:trPr>
          <w:trHeight w:val="523" w:hRule="exact"/>
        </w:trPr>
        <w:tc>
          <w:tcPr>
            <w:vMerge w:val="restart"/>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Наименование показателя</w:t>
            </w:r>
          </w:p>
        </w:tc>
        <w:tc>
          <w:tcPr>
            <w:gridSpan w:val="8"/>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Значение показателя для подгузников видов и групп</w:t>
            </w:r>
          </w:p>
        </w:tc>
        <w:tc>
          <w:tcPr>
            <w:vMerge w:val="restart"/>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Метод испытаний</w:t>
            </w:r>
          </w:p>
        </w:tc>
      </w:tr>
      <w:tr>
        <w:trPr>
          <w:trHeight w:val="1109" w:hRule="exact"/>
        </w:trPr>
        <w:tc>
          <w:tcPr>
            <w:vMerge/>
            <w:tcBorders>
              <w:left w:val="single" w:sz="4"/>
            </w:tcBorders>
            <w:shd w:val="clear" w:color="auto" w:fill="auto"/>
            <w:vAlign w:val="center"/>
          </w:tcPr>
          <w:p>
            <w:pPr/>
          </w:p>
        </w:tc>
        <w:tc>
          <w:tcPr>
            <w:gridSpan w:val="3"/>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для средней степени недержания</w:t>
            </w:r>
          </w:p>
        </w:tc>
        <w:tc>
          <w:tcPr>
            <w:gridSpan w:val="5"/>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для тяжелой степени недержания</w:t>
            </w:r>
          </w:p>
        </w:tc>
        <w:tc>
          <w:tcPr>
            <w:vMerge/>
            <w:tcBorders>
              <w:left w:val="single" w:sz="4"/>
              <w:right w:val="single" w:sz="4"/>
            </w:tcBorders>
            <w:shd w:val="clear" w:color="auto" w:fill="auto"/>
            <w:vAlign w:val="center"/>
          </w:tcPr>
          <w:p>
            <w:pPr/>
          </w:p>
        </w:tc>
      </w:tr>
      <w:tr>
        <w:trPr>
          <w:trHeight w:val="201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Сверх малые</w:t>
            </w:r>
          </w:p>
          <w:p>
            <w:pPr>
              <w:pStyle w:val="Style21"/>
              <w:keepNext w:val="0"/>
              <w:keepLines w:val="0"/>
              <w:widowControl w:val="0"/>
              <w:shd w:val="clear" w:color="auto" w:fill="auto"/>
              <w:bidi w:val="0"/>
              <w:spacing w:before="0" w:after="0" w:line="204" w:lineRule="auto"/>
              <w:ind w:left="0" w:right="0" w:firstLine="0"/>
              <w:jc w:val="center"/>
            </w:pPr>
            <w:r>
              <w:rPr>
                <w:color w:val="000000"/>
                <w:spacing w:val="0"/>
                <w:w w:val="100"/>
                <w:position w:val="0"/>
                <w:shd w:val="clear" w:color="auto" w:fill="auto"/>
                <w:vertAlign w:val="superscript"/>
                <w:lang w:val="ru-RU" w:eastAsia="ru-RU" w:bidi="ru-RU"/>
              </w:rPr>
              <w:t xml:space="preserve">, </w:t>
            </w:r>
            <w:r>
              <w:rPr>
                <w:color w:val="000000"/>
                <w:spacing w:val="0"/>
                <w:w w:val="100"/>
                <w:position w:val="0"/>
                <w:shd w:val="clear" w:color="auto" w:fill="auto"/>
                <w:lang w:val="ru-RU" w:eastAsia="ru-RU" w:bidi="ru-RU"/>
              </w:rPr>
              <w:t>малые</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Сред ние</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Боль шие, свер х боль шие</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Свер х малы е</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Ма</w:t>
              <w:softHyphen/>
              <w:t>лые</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Средние</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Боль</w:t>
              <w:softHyphen/>
              <w:t>шие</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Сверх боль</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шие</w:t>
            </w:r>
          </w:p>
        </w:tc>
        <w:tc>
          <w:tcPr>
            <w:vMerge/>
            <w:tcBorders>
              <w:left w:val="single" w:sz="4"/>
              <w:right w:val="single" w:sz="4"/>
            </w:tcBorders>
            <w:shd w:val="clear" w:color="auto" w:fill="auto"/>
            <w:vAlign w:val="center"/>
          </w:tcPr>
          <w:p>
            <w:pPr/>
          </w:p>
        </w:tc>
      </w:tr>
      <w:tr>
        <w:trPr>
          <w:trHeight w:val="1114" w:hRule="exact"/>
        </w:trPr>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1 Полное влагопоглощение, г, </w:t>
            </w:r>
            <w:r>
              <w:rPr>
                <w:i/>
                <w:iCs/>
                <w:color w:val="000000"/>
                <w:spacing w:val="0"/>
                <w:w w:val="100"/>
                <w:position w:val="0"/>
                <w:shd w:val="clear" w:color="auto" w:fill="auto"/>
                <w:lang w:val="ru-RU" w:eastAsia="ru-RU" w:bidi="ru-RU"/>
              </w:rPr>
              <w:t>не менее</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1000</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1300</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1450</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1200</w:t>
            </w: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140 0</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1800</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2000</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2800</w:t>
            </w:r>
          </w:p>
        </w:tc>
        <w:tc>
          <w:tcPr>
            <w:tcBorders>
              <w:top w:val="single" w:sz="4"/>
              <w:left w:val="single" w:sz="4"/>
              <w:bottom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7.3 настоящего стандарта</w:t>
            </w:r>
          </w:p>
        </w:tc>
      </w:tr>
    </w:tbl>
    <w:p>
      <w:pPr>
        <w:widowControl w:val="0"/>
        <w:spacing w:line="1" w:lineRule="exact"/>
      </w:pPr>
    </w:p>
    <w:tbl>
      <w:tblPr>
        <w:tblOverlap w:val="never"/>
        <w:jc w:val="center"/>
        <w:tblLayout w:type="fixed"/>
      </w:tblPr>
      <w:tblGrid>
        <w:gridCol w:w="2155"/>
        <w:gridCol w:w="850"/>
        <w:gridCol w:w="682"/>
        <w:gridCol w:w="677"/>
        <w:gridCol w:w="797"/>
        <w:gridCol w:w="624"/>
        <w:gridCol w:w="1085"/>
        <w:gridCol w:w="994"/>
        <w:gridCol w:w="850"/>
        <w:gridCol w:w="1421"/>
      </w:tblGrid>
      <w:tr>
        <w:trPr>
          <w:trHeight w:val="1714"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 Сорбционная способность</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после</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центрифугирован ия, г, </w:t>
            </w:r>
            <w:r>
              <w:rPr>
                <w:i/>
                <w:iCs/>
                <w:color w:val="000000"/>
                <w:spacing w:val="0"/>
                <w:w w:val="100"/>
                <w:position w:val="0"/>
                <w:shd w:val="clear" w:color="auto" w:fill="auto"/>
                <w:lang w:val="ru-RU" w:eastAsia="ru-RU" w:bidi="ru-RU"/>
              </w:rPr>
              <w:t>не менее</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120</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220</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330</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240</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300</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440</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500</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560</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80" w:after="0" w:line="240" w:lineRule="auto"/>
              <w:ind w:left="0" w:right="0" w:firstLine="0"/>
              <w:jc w:val="center"/>
            </w:pPr>
            <w:r>
              <w:rPr>
                <w:color w:val="000000"/>
                <w:spacing w:val="0"/>
                <w:w w:val="100"/>
                <w:position w:val="0"/>
                <w:shd w:val="clear" w:color="auto" w:fill="auto"/>
                <w:lang w:val="ru-RU" w:eastAsia="ru-RU" w:bidi="ru-RU"/>
              </w:rPr>
              <w:t>По 7.4 настоящего стандарта</w:t>
            </w:r>
          </w:p>
        </w:tc>
      </w:tr>
      <w:tr>
        <w:trPr>
          <w:trHeight w:val="1109"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3 Обратная сорбция, г, </w:t>
            </w:r>
            <w:r>
              <w:rPr>
                <w:i/>
                <w:iCs/>
                <w:color w:val="000000"/>
                <w:spacing w:val="0"/>
                <w:w w:val="100"/>
                <w:position w:val="0"/>
                <w:shd w:val="clear" w:color="auto" w:fill="auto"/>
                <w:lang w:val="ru-RU" w:eastAsia="ru-RU" w:bidi="ru-RU"/>
              </w:rPr>
              <w:t>не более</w:t>
            </w:r>
          </w:p>
        </w:tc>
        <w:tc>
          <w:tcPr>
            <w:gridSpan w:val="8"/>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4,4</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7.5 настоящего стандарта</w:t>
            </w:r>
          </w:p>
        </w:tc>
      </w:tr>
      <w:tr>
        <w:trPr>
          <w:trHeight w:val="1118" w:hRule="exact"/>
        </w:trPr>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ru-RU" w:eastAsia="ru-RU" w:bidi="ru-RU"/>
              </w:rPr>
              <w:t>4 Скорость впитывания, см</w:t>
            </w:r>
            <w:r>
              <w:rPr>
                <w:rFonts w:ascii="Arial" w:eastAsia="Arial" w:hAnsi="Arial" w:cs="Arial"/>
                <w:color w:val="000000"/>
                <w:spacing w:val="0"/>
                <w:w w:val="100"/>
                <w:position w:val="0"/>
                <w:sz w:val="12"/>
                <w:szCs w:val="12"/>
                <w:shd w:val="clear" w:color="auto" w:fill="auto"/>
                <w:vertAlign w:val="superscript"/>
                <w:lang w:val="ru-RU" w:eastAsia="ru-RU" w:bidi="ru-RU"/>
              </w:rPr>
              <w:t>3</w:t>
            </w:r>
            <w:r>
              <w:rPr>
                <w:color w:val="000000"/>
                <w:spacing w:val="0"/>
                <w:w w:val="100"/>
                <w:position w:val="0"/>
                <w:shd w:val="clear" w:color="auto" w:fill="auto"/>
                <w:lang w:val="ru-RU" w:eastAsia="ru-RU" w:bidi="ru-RU"/>
              </w:rPr>
              <w:t xml:space="preserve">/с, </w:t>
            </w:r>
            <w:r>
              <w:rPr>
                <w:i/>
                <w:iCs/>
                <w:color w:val="000000"/>
                <w:spacing w:val="0"/>
                <w:w w:val="100"/>
                <w:position w:val="0"/>
                <w:shd w:val="clear" w:color="auto" w:fill="auto"/>
                <w:lang w:val="ru-RU" w:eastAsia="ru-RU" w:bidi="ru-RU"/>
              </w:rPr>
              <w:t>не менее</w:t>
            </w:r>
          </w:p>
        </w:tc>
        <w:tc>
          <w:tcPr>
            <w:gridSpan w:val="8"/>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2,3</w:t>
            </w:r>
          </w:p>
        </w:tc>
        <w:tc>
          <w:tcPr>
            <w:tcBorders>
              <w:top w:val="single" w:sz="4"/>
              <w:left w:val="single" w:sz="4"/>
              <w:bottom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7.6 настоящего стандарта</w:t>
            </w:r>
          </w:p>
        </w:tc>
      </w:tr>
    </w:tbl>
    <w:p>
      <w:pPr>
        <w:widowControl w:val="0"/>
        <w:spacing w:after="259" w:line="1" w:lineRule="exact"/>
      </w:pPr>
    </w:p>
    <w:p>
      <w:pPr>
        <w:pStyle w:val="Style13"/>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По пунктам 5.1, 6.1, 6.2, 6.3 ГОСТ Р 55082-2012 подгузники изготовляют в соответствии с требованиями настоящего стандарта по технической документации (технологический регламент, техническое описание и т.п.) на конкретный подгузник и/или группу подгузников.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Подгузники предъявляют к приемке партиями.</w:t>
      </w:r>
    </w:p>
    <w:p>
      <w:pPr>
        <w:pStyle w:val="Style13"/>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За партию принимают определенное количество подгузников одной группы, вида, варианта размерного ряда, конструкции, технического и декоративного исполнений, изготовленное из одних материалов и оформленное одним документом о качестве.</w:t>
      </w:r>
    </w:p>
    <w:p>
      <w:pPr>
        <w:pStyle w:val="Style13"/>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 xml:space="preserve">Партия должна сопровождаться документом о качестве, который должен содержать, в том числе, наименование страны-изготовителя, предприятия-изготовителя, товарный знак изготовителя (при наличии); наименование группы, вида, размеры по обхвату талии/бедер подгузника, номер подгузника (при наличии), декоративное и техническое исполнения;номер артикула (при наличии); номер партии; количество подгузников в партии; дату изготовления (месяц, год); обозначение настоящего стандарта; срок годности подгузников, установленный изготовителем; результаты проведенных испытаний </w:t>
      </w:r>
      <w:r>
        <w:rPr>
          <w:i/>
          <w:iCs/>
          <w:color w:val="000000"/>
          <w:spacing w:val="0"/>
          <w:w w:val="100"/>
          <w:position w:val="0"/>
          <w:shd w:val="clear" w:color="auto" w:fill="auto"/>
          <w:lang w:val="ru-RU" w:eastAsia="ru-RU" w:bidi="ru-RU"/>
        </w:rPr>
        <w:t xml:space="preserve">или </w:t>
      </w:r>
      <w:r>
        <w:rPr>
          <w:color w:val="000000"/>
          <w:spacing w:val="0"/>
          <w:w w:val="100"/>
          <w:position w:val="0"/>
          <w:shd w:val="clear" w:color="auto" w:fill="auto"/>
          <w:lang w:val="ru-RU" w:eastAsia="ru-RU" w:bidi="ru-RU"/>
        </w:rPr>
        <w:t>подтверждение соответствия подгузников требованиям настоящего стандарта.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Подгузники подвергают приемо-сдаточным испытаниям.</w:t>
      </w:r>
    </w:p>
    <w:p>
      <w:pPr>
        <w:pStyle w:val="Style13"/>
        <w:keepNext w:val="0"/>
        <w:keepLines w:val="0"/>
        <w:widowControl w:val="0"/>
        <w:numPr>
          <w:ilvl w:val="1"/>
          <w:numId w:val="1"/>
        </w:numPr>
        <w:shd w:val="clear" w:color="auto" w:fill="auto"/>
        <w:tabs>
          <w:tab w:pos="1301" w:val="left"/>
        </w:tabs>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Согласно пункту 3 части 2 статьи 42 Закона о контрактной системе извещение о закупке должно содержать требования к содержанию, составу заявки на участие в закупке в соответствии с настоящим Федеральным законом и инструкцию по ее заполнению. </w:t>
      </w:r>
      <w:r>
        <w:rPr>
          <w:i/>
          <w:iCs/>
          <w:color w:val="000000"/>
          <w:spacing w:val="0"/>
          <w:w w:val="100"/>
          <w:position w:val="0"/>
          <w:shd w:val="clear" w:color="auto" w:fill="auto"/>
          <w:lang w:val="ru-RU" w:eastAsia="ru-RU" w:bidi="ru-RU"/>
        </w:rPr>
        <w:t>При этом не допускается установление требований, влекущих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Требования к содержанию, составу заявки на участие в закупке и инструкция по ее заполнению размещены в составе извещения о закупке в виде отдельного электронного документа (приложение № 2 к извещению о закупке) (далее - Требования к содержанию, составу заявки на участие в закупке).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Требования к содержанию, составу заявки на участие в закупке включена Инструкция по заполнению заявки на участие в электронном аукционе, содержащая, наряду с прочим, следующие указания: «Предложение участника в отношении объекта закупки должно содержать конкретные значения показателей. Не допускается наличие неопределенности в значениях или множественность значений, свойственных модельному ряду закупаемых товаров.</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описании заказчиком закупаемых Товаров применяются характеризующие их показатели, имеющие точные, а также максимальные и (или) минимальные значения таких показателей.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Товар и допустимые технические характеристики по каждому показателю указаны в Описании объекта закупки.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Указание конкретных значений требуют показатели, сопровождающиеся в Описании объекта закупки словами и символами: «не более», «не менее» в (Приложение № 1 к Извещению).</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случае, если при описании характеристик Товара значение показателя установлено как нижний предел, и сопровождается словами «</w:t>
      </w:r>
      <w:r>
        <w:rPr>
          <w:i/>
          <w:iCs/>
          <w:color w:val="000000"/>
          <w:spacing w:val="0"/>
          <w:w w:val="100"/>
          <w:position w:val="0"/>
          <w:shd w:val="clear" w:color="auto" w:fill="auto"/>
          <w:lang w:val="ru-RU" w:eastAsia="ru-RU" w:bidi="ru-RU"/>
        </w:rPr>
        <w:t>не менее</w:t>
      </w:r>
      <w:r>
        <w:rPr>
          <w:color w:val="000000"/>
          <w:spacing w:val="0"/>
          <w:w w:val="100"/>
          <w:position w:val="0"/>
          <w:shd w:val="clear" w:color="auto" w:fill="auto"/>
          <w:lang w:val="ru-RU" w:eastAsia="ru-RU" w:bidi="ru-RU"/>
        </w:rPr>
        <w:t>», участником закупки должно быть представлено значение показателя равное или превышающее указанное, без слов «не менее».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Например:</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-показатель: «С полным влагопоглощением не менее 1000 * г» требует указания конкретного значения, т.е. необходимо указать конкретный объем влагопоглощения (равный или превышающий указанный, без слов «не менее»).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случае, если при описании характеристик Товара значение показателя установлено как верхний предел, сопровождаясь при этом словами </w:t>
      </w:r>
      <w:r>
        <w:rPr>
          <w:i/>
          <w:iCs/>
          <w:color w:val="000000"/>
          <w:spacing w:val="0"/>
          <w:w w:val="100"/>
          <w:position w:val="0"/>
          <w:shd w:val="clear" w:color="auto" w:fill="auto"/>
          <w:lang w:val="ru-RU" w:eastAsia="ru-RU" w:bidi="ru-RU"/>
        </w:rPr>
        <w:t>«не более»</w:t>
      </w:r>
      <w:r>
        <w:rPr>
          <w:color w:val="000000"/>
          <w:spacing w:val="0"/>
          <w:w w:val="100"/>
          <w:position w:val="0"/>
          <w:shd w:val="clear" w:color="auto" w:fill="auto"/>
          <w:lang w:val="ru-RU" w:eastAsia="ru-RU" w:bidi="ru-RU"/>
        </w:rPr>
        <w:t>, участником закупки должно быть представлено значение показателя равное или меньше указанного, без слов «не более».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Например:</w:t>
      </w:r>
    </w:p>
    <w:p>
      <w:pPr>
        <w:pStyle w:val="Style28"/>
        <w:keepNext/>
        <w:keepLines/>
        <w:widowControl w:val="0"/>
        <w:shd w:val="clear" w:color="auto" w:fill="auto"/>
        <w:bidi w:val="0"/>
        <w:spacing w:before="0" w:after="0" w:line="240" w:lineRule="auto"/>
        <w:ind w:left="0" w:right="0" w:firstLine="720"/>
        <w:jc w:val="both"/>
      </w:pPr>
      <w:bookmarkStart w:id="2" w:name="bookmark2"/>
      <w:r>
        <w:rPr>
          <w:color w:val="000000"/>
          <w:spacing w:val="0"/>
          <w:w w:val="100"/>
          <w:position w:val="0"/>
          <w:shd w:val="clear" w:color="auto" w:fill="auto"/>
          <w:lang w:val="ru-RU" w:eastAsia="ru-RU" w:bidi="ru-RU"/>
        </w:rPr>
        <w:t>-показатель «обратная сорбция» не более 4,4* г, требует указания конкретного значения, т.е. участник закупки должен указать числовое значение показателя равное или меньшее указанного, без слов «не более»».</w:t>
      </w:r>
      <w:bookmarkEnd w:id="2"/>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с учетом требований Инструкции по заполнению заявки на участие в электронном аукционе по показателям закупаемого товара: «полное влагопоглощение», «обратная сорбция», «скорость впитывания» в заявке на участие в закупке требовалось указать конкретные значения, без сопровождения словами «не более», «не менее».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целей Закона о контрактной системе требования к предоставлению конкретных показателей товара должны быть направлены на обеспечение обоснованной потребности заказчика, не выходить за рамки стандартных требований для таких товаров, не допускать ограничения круга участников закупки, в том числе по причине фактической невозможности подтверждения их соответствия требованиям извещения о закупке и действующим государственным стандартам.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Доказательств, свидетельствующих о необходимости получения товара с конкретными значениями по показателям товара: «полное влагопоглощение», «обратная сорбция», «скорость впитывания», заказчиком не представлено, при этом не обоснована потребность заказчика в соответствующих конкретных характеристиках товара и их влияние на приемку товара, учитывая, что предоставляемые при поставке товара документы о качестве в соответствии с пунктом 6.2 ГОСТ Р 55082-2012 могут содержать результаты проведенных испытаний </w:t>
      </w:r>
      <w:r>
        <w:rPr>
          <w:i/>
          <w:iCs/>
          <w:color w:val="000000"/>
          <w:spacing w:val="0"/>
          <w:w w:val="100"/>
          <w:position w:val="0"/>
          <w:shd w:val="clear" w:color="auto" w:fill="auto"/>
          <w:lang w:val="ru-RU" w:eastAsia="ru-RU" w:bidi="ru-RU"/>
        </w:rPr>
        <w:t>или</w:t>
      </w:r>
      <w:r>
        <w:rPr>
          <w:color w:val="000000"/>
          <w:spacing w:val="0"/>
          <w:w w:val="100"/>
          <w:position w:val="0"/>
          <w:shd w:val="clear" w:color="auto" w:fill="auto"/>
          <w:lang w:val="ru-RU" w:eastAsia="ru-RU" w:bidi="ru-RU"/>
        </w:rPr>
        <w:t xml:space="preserve"> подтверждение соответствия подгузников требованиям настоящего стандарта.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Данный вывод соответствует позиции ФАС России, изложенной в пункте 3 письма от 01.07.2016 № ИА/44536/16, согласно которой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w:t>
      </w:r>
      <w:r>
        <w:rPr>
          <w:color w:val="000000"/>
          <w:spacing w:val="0"/>
          <w:w w:val="100"/>
          <w:position w:val="0"/>
          <w:shd w:val="clear" w:color="auto" w:fill="auto"/>
          <w:lang w:val="ru-RU" w:eastAsia="ru-RU" w:bidi="ru-RU"/>
        </w:rPr>
        <w:t>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Действие заказчика - ОСФР по Республике Коми при определении положений извещения о закупке в части включения в Инструкцию по заполнению заявки на участие в электронном аукционе требования об указании в заявке на участие в закупке конкретных значений показателей, сопровождающихся в Описании объекта закупки словами и символами: «не более», «не менее»: «полное влагопоглощение», «обратная сорбция», «скорость впитывания», не соответствует требованиям пункту 3 части 2 статьи 42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 заявителя относительно неправомерного требования в Инструкции по заполнению заявки на участие в электронном аукционе об указании в заявке на участие в закупке конкретных значений по показателю «объем талии/бедер» не находит своего подтверждения с учетом того, что указанное значение сопровождается словом «до», тогда как, согласно Инструкции по заполнению заявки на участие в электронном аукционе, указание конкретных значений требуют показатели, сопровождающиеся в описании объекта закупки словами: «не более», «не менее».</w:t>
      </w:r>
    </w:p>
    <w:p>
      <w:pPr>
        <w:pStyle w:val="Style13"/>
        <w:keepNext w:val="0"/>
        <w:keepLines w:val="0"/>
        <w:widowControl w:val="0"/>
        <w:numPr>
          <w:ilvl w:val="0"/>
          <w:numId w:val="5"/>
        </w:numPr>
        <w:shd w:val="clear" w:color="auto" w:fill="auto"/>
        <w:tabs>
          <w:tab w:pos="10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 части 2 статьи 42 Закона о контрактной системе извещение об осуществлении закупки должно содержать, в том числе, электронный документ: проект контракта.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Проект контракта размещен в составе извещения о закупке в виде отдельного электронного документа (приложение № 4).</w:t>
      </w:r>
    </w:p>
    <w:p>
      <w:pPr>
        <w:pStyle w:val="Style13"/>
        <w:keepNext w:val="0"/>
        <w:keepLines w:val="0"/>
        <w:widowControl w:val="0"/>
        <w:shd w:val="clear" w:color="auto" w:fill="auto"/>
        <w:bidi w:val="0"/>
        <w:spacing w:before="0" w:after="0" w:line="240" w:lineRule="auto"/>
        <w:ind w:left="0" w:right="0" w:firstLine="720"/>
        <w:jc w:val="both"/>
        <w:rPr>
          <w:sz w:val="24"/>
          <w:szCs w:val="24"/>
        </w:rPr>
      </w:pPr>
      <w:r>
        <w:rPr>
          <w:color w:val="000000"/>
          <w:spacing w:val="0"/>
          <w:w w:val="100"/>
          <w:position w:val="0"/>
          <w:sz w:val="26"/>
          <w:szCs w:val="26"/>
          <w:shd w:val="clear" w:color="auto" w:fill="auto"/>
          <w:lang w:val="ru-RU" w:eastAsia="ru-RU" w:bidi="ru-RU"/>
        </w:rPr>
        <w:t>По пункту 1.1 проекта контракта: «В соответствии с контрактом Поставщик обязуется осуществить поставку инвалидам или их законным представителям, или представителям по доверенности либо на основании иного документа, подтверждающего их полномочия (далее соответственно - Получатель, представитель Получателя), следующих технических средств реабилитации - подгузников для взрослых (далее - Товар), предусмотренных техническим заданием (приложение № 1 к Контракту) и спецификацией (приложение № 2 к Контракту)..</w:t>
      </w:r>
      <w:r>
        <w:rPr>
          <w:color w:val="000000"/>
          <w:spacing w:val="0"/>
          <w:w w:val="100"/>
          <w:position w:val="0"/>
          <w:sz w:val="24"/>
          <w:szCs w:val="24"/>
          <w:shd w:val="clear" w:color="auto" w:fill="auto"/>
          <w:lang w:val="ru-RU" w:eastAsia="ru-RU" w:bidi="ru-RU"/>
        </w:rPr>
        <w:t>.».</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14.6 проекта контракта: «неотъемлемой частью контракта являются, наряду с прочим, приложения: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приложение № 1: техническое задание;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приложение № 2: спецификация».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Приложение № 1 «Техническое задание» к проекту контракта содержит требования к размерам, упаковке, отгрузке товара, требования к безопасности товара, содержащиеся в Описании объекта закупки.</w:t>
      </w:r>
    </w:p>
    <w:p>
      <w:pPr>
        <w:pStyle w:val="Style19"/>
        <w:keepNext w:val="0"/>
        <w:keepLines w:val="0"/>
        <w:widowControl w:val="0"/>
        <w:shd w:val="clear" w:color="auto" w:fill="auto"/>
        <w:bidi w:val="0"/>
        <w:spacing w:before="0" w:after="0" w:line="240" w:lineRule="auto"/>
        <w:ind w:left="504" w:right="0" w:firstLine="0"/>
        <w:jc w:val="left"/>
      </w:pPr>
      <w:r>
        <w:rPr>
          <w:color w:val="000000"/>
          <w:spacing w:val="0"/>
          <w:w w:val="100"/>
          <w:position w:val="0"/>
          <w:u w:val="single"/>
          <w:shd w:val="clear" w:color="auto" w:fill="auto"/>
          <w:lang w:val="ru-RU" w:eastAsia="ru-RU" w:bidi="ru-RU"/>
        </w:rPr>
        <w:t>Приложение № 2 «Спецификация» к проекту контакта содержит таблицу и сноску:</w:t>
      </w:r>
    </w:p>
    <w:tbl>
      <w:tblPr>
        <w:tblOverlap w:val="never"/>
        <w:jc w:val="center"/>
        <w:tblLayout w:type="fixed"/>
      </w:tblPr>
      <w:tblGrid>
        <w:gridCol w:w="451"/>
        <w:gridCol w:w="2971"/>
        <w:gridCol w:w="2986"/>
        <w:gridCol w:w="1560"/>
        <w:gridCol w:w="1080"/>
        <w:gridCol w:w="792"/>
      </w:tblGrid>
      <w:tr>
        <w:trPr>
          <w:trHeight w:val="1819"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80" w:after="160" w:line="240" w:lineRule="auto"/>
              <w:ind w:left="0" w:right="0" w:firstLine="0"/>
              <w:jc w:val="left"/>
            </w:pPr>
            <w:r>
              <w:rPr>
                <w:color w:val="000000"/>
                <w:spacing w:val="0"/>
                <w:w w:val="100"/>
                <w:position w:val="0"/>
                <w:shd w:val="clear" w:color="auto" w:fill="auto"/>
                <w:lang w:val="ru-RU" w:eastAsia="ru-RU" w:bidi="ru-RU"/>
              </w:rPr>
              <w:t>№</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п/п</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Наименование Товара* (марка (при наличии), производитель (при наличии), страна происхождения (при наличии) Товара)</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Описание функциональных и технических характеристик Товара*</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80" w:after="0" w:line="401" w:lineRule="auto"/>
              <w:ind w:left="0" w:right="0" w:firstLine="0"/>
              <w:jc w:val="center"/>
            </w:pPr>
            <w:r>
              <w:rPr>
                <w:color w:val="000000"/>
                <w:spacing w:val="0"/>
                <w:w w:val="100"/>
                <w:position w:val="0"/>
                <w:shd w:val="clear" w:color="auto" w:fill="auto"/>
                <w:lang w:val="ru-RU" w:eastAsia="ru-RU" w:bidi="ru-RU"/>
              </w:rPr>
              <w:t>Количество, штук</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160" w:line="240" w:lineRule="auto"/>
              <w:ind w:left="0" w:right="0" w:firstLine="0"/>
              <w:jc w:val="center"/>
            </w:pPr>
            <w:r>
              <w:rPr>
                <w:color w:val="000000"/>
                <w:spacing w:val="0"/>
                <w:w w:val="100"/>
                <w:position w:val="0"/>
                <w:shd w:val="clear" w:color="auto" w:fill="auto"/>
                <w:lang w:val="ru-RU" w:eastAsia="ru-RU" w:bidi="ru-RU"/>
              </w:rPr>
              <w:t>Цена</w:t>
            </w:r>
          </w:p>
          <w:p>
            <w:pPr>
              <w:pStyle w:val="Style2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за единицу, руб.</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80" w:after="0" w:line="240" w:lineRule="auto"/>
              <w:ind w:left="0" w:right="0" w:firstLine="0"/>
              <w:jc w:val="center"/>
            </w:pPr>
            <w:r>
              <w:rPr>
                <w:color w:val="000000"/>
                <w:spacing w:val="0"/>
                <w:w w:val="100"/>
                <w:position w:val="0"/>
                <w:shd w:val="clear" w:color="auto" w:fill="auto"/>
                <w:lang w:val="ru-RU" w:eastAsia="ru-RU" w:bidi="ru-RU"/>
              </w:rPr>
              <w:t>Итого, руб.</w:t>
            </w:r>
          </w:p>
        </w:tc>
      </w:tr>
      <w:tr>
        <w:trPr>
          <w:trHeight w:val="49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9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99"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59" w:line="1" w:lineRule="exact"/>
      </w:pP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*Указывается вид и (или) наименование технического средства реабилитации в соответствии с графой 3 Классификации».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 в таблице в столбце 1 «Наименование Товара</w:t>
      </w:r>
      <w:r>
        <w:rPr>
          <w:b/>
          <w:bCs/>
          <w:color w:val="000000"/>
          <w:spacing w:val="0"/>
          <w:w w:val="100"/>
          <w:position w:val="0"/>
          <w:shd w:val="clear" w:color="auto" w:fill="auto"/>
          <w:vertAlign w:val="superscript"/>
          <w:lang w:val="ru-RU" w:eastAsia="ru-RU" w:bidi="ru-RU"/>
        </w:rPr>
        <w:t>1</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содержит сноску: «</w:t>
      </w:r>
      <w:r>
        <w:rPr>
          <w:color w:val="000000"/>
          <w:spacing w:val="0"/>
          <w:w w:val="100"/>
          <w:position w:val="0"/>
          <w:shd w:val="clear" w:color="auto" w:fill="auto"/>
          <w:vertAlign w:val="superscript"/>
          <w:lang w:val="ru-RU" w:eastAsia="ru-RU" w:bidi="ru-RU"/>
        </w:rPr>
        <w:t>Х</w:t>
      </w:r>
      <w:r>
        <w:rPr>
          <w:color w:val="000000"/>
          <w:spacing w:val="0"/>
          <w:w w:val="100"/>
          <w:position w:val="0"/>
          <w:shd w:val="clear" w:color="auto" w:fill="auto"/>
          <w:lang w:val="ru-RU" w:eastAsia="ru-RU" w:bidi="ru-RU"/>
        </w:rPr>
        <w:t>В соответствии с Федеральным законом от 24.11.1995 № 181-ФЗ «О социальной защите инвалидов в Российской Федерации» обеспечение инвалидов техническими средствами реабилитации (далее - ТСР) осуществляется территориальными органами Фонда на основании индивидуальных программ реабилитации или абилитации инвалидов (далее - ИПРА), разрабатываемых федеральными учреждениями медико-социальной экспертизы и определяется Правилами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утвержденными постановлением Правительства Российской Федерации от 07.04.2008 № 240. Наименование товара определено на основании Приказа Министерства труда и социальной защиты Российской Федерации от 13.02.2018г. № 86н «Об утверждении классификации технических средств реабилитации (изделий) в рамках федерального перечня реабилитационных мероприятий, технических средств реабилитации и услуг, предоставляемых инвалиду, утвержденного распоряжением Правительства Российской Федерации от 30 декабря 2005г. № 2347-р».</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Коми УФАС России по результатам анализа Описания объекта закупки, приложений № 1, № 2 к проекту контракта, инструкции по заполнению заявки на участие в электронном аукционе, противоречивой информации не установлено, в указанной части доводы жалобы признаются несостоятельными.</w:t>
      </w:r>
    </w:p>
    <w:p>
      <w:pPr>
        <w:pStyle w:val="Style13"/>
        <w:keepNext w:val="0"/>
        <w:keepLines w:val="0"/>
        <w:widowControl w:val="0"/>
        <w:numPr>
          <w:ilvl w:val="0"/>
          <w:numId w:val="5"/>
        </w:numPr>
        <w:shd w:val="clear" w:color="auto" w:fill="auto"/>
        <w:tabs>
          <w:tab w:pos="102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Следует отметить, что доводы жалобы о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от 26.07.2006 № 135-ФЗ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доводы заявителя о нарушении заказчиком антимонопольного законодательства будут рассмотрены в Коми УФАС России в соответствии с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Копия жалобы в части доводов о нарушении заказчиком статьи 17 Федерального закона от 26.07.2006 № 135-ФЗ «О защите конкуренции» передана на рассмотрение уполномоченного должностного лица Коми УФАС.</w:t>
      </w:r>
    </w:p>
    <w:p>
      <w:pPr>
        <w:pStyle w:val="Style13"/>
        <w:keepNext w:val="0"/>
        <w:keepLines w:val="0"/>
        <w:widowControl w:val="0"/>
        <w:numPr>
          <w:ilvl w:val="0"/>
          <w:numId w:val="5"/>
        </w:numPr>
        <w:shd w:val="clear" w:color="auto" w:fill="auto"/>
        <w:tabs>
          <w:tab w:pos="103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8 статьи 106, пункту 2 части 22 статьи 99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о совершении (при необходимости) действий, предусмотренных пунктами 1 и 3 части 22 статьи 99 настоящего Федерального закона, и выдает (при необходимости) предписание об устранении допущенных нарушений, предусмотренное пунктом 2 части 22 статьи 99 настоящего Федерального закона.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Коми УФАС России при рассмотрении вопроса относительно предписания об устранении допущенных нарушений пришла к выводу, что устранение установленных нарушений Закона о контрактной системе, с учетом стадии закупки, характера установленных нарушений Закона о контрактной системе, возможно исключительно посредством аннулирования закупки.</w:t>
      </w:r>
    </w:p>
    <w:p>
      <w:pPr>
        <w:pStyle w:val="Style13"/>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статьей 99, частью 8 статьи 106 Закона о контрактной системе, Комиссия Коми УФАС России,</w:t>
      </w:r>
    </w:p>
    <w:p>
      <w:pPr>
        <w:pStyle w:val="Style13"/>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3"/>
        <w:keepNext w:val="0"/>
        <w:keepLines w:val="0"/>
        <w:widowControl w:val="0"/>
        <w:numPr>
          <w:ilvl w:val="0"/>
          <w:numId w:val="7"/>
        </w:numPr>
        <w:shd w:val="clear" w:color="auto" w:fill="auto"/>
        <w:tabs>
          <w:tab w:pos="102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в части доводов, касающихся требований Закона о контрактной системе, относительно включения в Инструкцию по заполнению заявки на участие в электронном аукционе неправомерного требования об указании в заявке на участие в закупке конкретных значений показателей, сопровождающихся в Описании объекта закупки словами и символами: «не более», «не менее», относительно неправомерного указания в столбце 1 «Наименование товара» таблицы Описания объекта закупки размеров «талии/бедер» - «до __ см включительно») - обоснованной, в остальной части - необоснованной.</w:t>
      </w:r>
    </w:p>
    <w:p>
      <w:pPr>
        <w:pStyle w:val="Style13"/>
        <w:keepNext w:val="0"/>
        <w:keepLines w:val="0"/>
        <w:widowControl w:val="0"/>
        <w:numPr>
          <w:ilvl w:val="0"/>
          <w:numId w:val="7"/>
        </w:numPr>
        <w:shd w:val="clear" w:color="auto" w:fill="auto"/>
        <w:tabs>
          <w:tab w:pos="102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Признать действие заказчика - ОСФР по Республике Коми в части указания в столбце 1 «Наименование товара» таблицы Описания объекта закупки размеров талии/бедер: «до __ см </w:t>
      </w:r>
      <w:r>
        <w:rPr>
          <w:i/>
          <w:iCs/>
          <w:color w:val="000000"/>
          <w:spacing w:val="0"/>
          <w:w w:val="100"/>
          <w:position w:val="0"/>
          <w:shd w:val="clear" w:color="auto" w:fill="auto"/>
          <w:lang w:val="ru-RU" w:eastAsia="ru-RU" w:bidi="ru-RU"/>
        </w:rPr>
        <w:t>включительно</w:t>
      </w:r>
      <w:r>
        <w:rPr>
          <w:color w:val="000000"/>
          <w:spacing w:val="0"/>
          <w:w w:val="100"/>
          <w:position w:val="0"/>
          <w:shd w:val="clear" w:color="auto" w:fill="auto"/>
          <w:lang w:val="ru-RU" w:eastAsia="ru-RU" w:bidi="ru-RU"/>
        </w:rPr>
        <w:t>», не соответствующих размерам товара, содержащегося в пункте 22 «Абсорбирующее белье, подгузники» Классификации технических средств реабилитации (изделий), а также в столбце 3 «Наименование товара, описание функциональных и технических характеристик» Описания объекта закупки (без слова «включительно»), не соответствующим части 3 статьи 7 Закона о контрактной системе.</w:t>
      </w:r>
    </w:p>
    <w:p>
      <w:pPr>
        <w:pStyle w:val="Style13"/>
        <w:keepNext w:val="0"/>
        <w:keepLines w:val="0"/>
        <w:widowControl w:val="0"/>
        <w:numPr>
          <w:ilvl w:val="0"/>
          <w:numId w:val="7"/>
        </w:numPr>
        <w:shd w:val="clear" w:color="auto" w:fill="auto"/>
        <w:tabs>
          <w:tab w:pos="101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действие заказчика - ОСФР по Республике Коми при определении положений извещения о закупке в части включения в Инструкцию по заполнению заявки на участие в электронном аукционе требования об указании в заявке на участие в закупке</w:t>
        <w:br w:type="page"/>
      </w:r>
      <w:r>
        <w:rPr>
          <w:color w:val="000000"/>
          <w:spacing w:val="0"/>
          <w:w w:val="100"/>
          <w:position w:val="0"/>
          <w:shd w:val="clear" w:color="auto" w:fill="auto"/>
          <w:lang w:val="ru-RU" w:eastAsia="ru-RU" w:bidi="ru-RU"/>
        </w:rPr>
        <w:t>конкретных значений показателей, сопровождающихся в Описании объекта закупки словами и символами: «не более», «не менее»: «полное влагопоглощение», «обратная сорбция», «скорость впитывания», не соответствующим требованиям пункту 3 части 2 статьи 42 Закона о контрактной системе.</w:t>
      </w:r>
    </w:p>
    <w:p>
      <w:pPr>
        <w:pStyle w:val="Style13"/>
        <w:keepNext w:val="0"/>
        <w:keepLines w:val="0"/>
        <w:widowControl w:val="0"/>
        <w:numPr>
          <w:ilvl w:val="0"/>
          <w:numId w:val="7"/>
        </w:numPr>
        <w:shd w:val="clear" w:color="auto" w:fill="auto"/>
        <w:tabs>
          <w:tab w:pos="107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характера установленного нарушения Закона о контрактной системе, стадии закупки, выдать заказчику - ОСФР по Республике Коми предписание об устранении установленных нарушений посредством аннулирования закупки.</w:t>
      </w:r>
    </w:p>
    <w:p>
      <w:pPr>
        <w:pStyle w:val="Style13"/>
        <w:keepNext w:val="0"/>
        <w:keepLines w:val="0"/>
        <w:widowControl w:val="0"/>
        <w:numPr>
          <w:ilvl w:val="0"/>
          <w:numId w:val="7"/>
        </w:numPr>
        <w:shd w:val="clear" w:color="auto" w:fill="auto"/>
        <w:tabs>
          <w:tab w:pos="1075" w:val="left"/>
        </w:tabs>
        <w:bidi w:val="0"/>
        <w:spacing w:before="0" w:after="260" w:line="240" w:lineRule="auto"/>
        <w:ind w:left="0" w:right="0" w:firstLine="740"/>
        <w:jc w:val="both"/>
      </w:pPr>
      <w:r>
        <w:rPr>
          <w:color w:val="000000"/>
          <w:spacing w:val="0"/>
          <w:w w:val="100"/>
          <w:position w:val="0"/>
          <w:shd w:val="clear" w:color="auto" w:fill="auto"/>
          <w:lang w:val="ru-RU" w:eastAsia="ru-RU" w:bidi="ru-RU"/>
        </w:rPr>
        <w:t>Передать материалы жалобы уполномоченному должностному лицу Коми УФАС России для рассмотрения вопроса о возбуждении административного дела в отношении должностного лица заказчика, допустившего установленные нарушения Закона о контрактной системе.</w:t>
      </w:r>
    </w:p>
    <w:p>
      <w:pPr>
        <w:pStyle w:val="Style13"/>
        <w:keepNext w:val="0"/>
        <w:keepLines w:val="0"/>
        <w:widowControl w:val="0"/>
        <w:shd w:val="clear" w:color="auto" w:fill="auto"/>
        <w:bidi w:val="0"/>
        <w:spacing w:before="0" w:after="620" w:line="240" w:lineRule="auto"/>
        <w:ind w:left="0" w:right="0" w:firstLine="740"/>
        <w:jc w:val="both"/>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3"/>
        <w:keepNext w:val="0"/>
        <w:keepLines w:val="0"/>
        <w:widowControl w:val="0"/>
        <w:shd w:val="clear" w:color="auto" w:fill="auto"/>
        <w:bidi w:val="0"/>
        <w:spacing w:before="0" w:after="260" w:line="240" w:lineRule="auto"/>
        <w:ind w:left="0" w:right="0" w:firstLine="0"/>
        <w:jc w:val="both"/>
      </w:pPr>
      <w:r>
        <w:drawing>
          <wp:anchor distT="0" distB="0" distL="114300" distR="1900555" simplePos="0" relativeHeight="125829383" behindDoc="0" locked="0" layoutInCell="1" allowOverlap="1">
            <wp:simplePos x="0" y="0"/>
            <wp:positionH relativeFrom="page">
              <wp:posOffset>2666365</wp:posOffset>
            </wp:positionH>
            <wp:positionV relativeFrom="paragraph">
              <wp:posOffset>254000</wp:posOffset>
            </wp:positionV>
            <wp:extent cx="341630" cy="40259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41630"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3071495</wp:posOffset>
                </wp:positionH>
                <wp:positionV relativeFrom="paragraph">
                  <wp:posOffset>345440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30"/>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1.84999999999999pt;margin-top:27.199999999999999pt;width:135.59999999999999pt;height:20.150000000000002pt;z-index:251657729;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90" w:line="240" w:lineRule="auto"/>
        <w:ind w:left="2100" w:right="0" w:firstLine="0"/>
        <w:jc w:val="both"/>
      </w:pPr>
      <w:r>
        <w:rPr>
          <w:color w:val="000000"/>
          <w:spacing w:val="0"/>
          <w:w w:val="100"/>
          <w:position w:val="0"/>
          <w:shd w:val="clear" w:color="auto" w:fill="auto"/>
          <w:lang w:val="ru-RU" w:eastAsia="ru-RU" w:bidi="ru-RU"/>
        </w:rPr>
        <w:t>О.И. Дейберт</w:t>
      </w:r>
    </w:p>
    <w:p>
      <w:pPr>
        <w:pStyle w:val="Style33"/>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1"/>
          <w:szCs w:val="11"/>
        </w:rPr>
      </w:pPr>
      <w:r>
        <w:rPr>
          <w:b/>
          <w:bCs/>
          <w:color w:val="E7E7E7"/>
          <w:spacing w:val="0"/>
          <w:w w:val="100"/>
          <w:position w:val="0"/>
          <w:sz w:val="11"/>
          <w:szCs w:val="11"/>
          <w:shd w:val="clear" w:color="auto" w:fill="auto"/>
          <w:lang w:val="ru-RU" w:eastAsia="ru-RU" w:bidi="ru-RU"/>
        </w:rPr>
        <w:t>СВЕДЕНИЯ О СЕРТИФИКАТЕ ЭП</w:t>
      </w:r>
    </w:p>
    <w:p>
      <w:pPr>
        <w:pStyle w:val="Style40"/>
        <w:keepNext w:val="0"/>
        <w:keepLines w:val="0"/>
        <w:widowControl w:val="0"/>
        <w:shd w:val="clear" w:color="auto" w:fill="auto"/>
        <w:bidi w:val="0"/>
        <w:spacing w:before="0" w:after="0" w:line="240" w:lineRule="auto"/>
        <w:ind w:right="0" w:firstLine="0"/>
        <w:jc w:val="both"/>
      </w:pPr>
      <w:r>
        <w:rPr>
          <w:color w:val="000000"/>
          <w:spacing w:val="0"/>
          <w:w w:val="100"/>
          <w:position w:val="0"/>
          <w:shd w:val="clear" w:color="auto" w:fill="auto"/>
          <w:lang w:val="ru-RU" w:eastAsia="ru-RU" w:bidi="ru-RU"/>
        </w:rPr>
        <w:t xml:space="preserve">Кому </w:t>
      </w:r>
      <w:r>
        <w:rPr>
          <w:color w:val="6B6B6B"/>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Дейберт Ольга Ивановна</w:t>
      </w:r>
    </w:p>
    <w:p>
      <w:pPr>
        <w:pStyle w:val="Style40"/>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00АОВ803Е92680СЕ453А7Е64СВ91</w:t>
      </w:r>
      <w:r>
        <w:rPr>
          <w:color w:val="212121"/>
          <w:spacing w:val="0"/>
          <w:w w:val="100"/>
          <w:position w:val="0"/>
          <w:shd w:val="clear" w:color="auto" w:fill="auto"/>
          <w:lang w:val="ru-RU" w:eastAsia="ru-RU" w:bidi="ru-RU"/>
        </w:rPr>
        <w:t>А16Е18</w:t>
      </w:r>
    </w:p>
    <w:p>
      <w:pPr>
        <w:pStyle w:val="Style40"/>
        <w:keepNext w:val="0"/>
        <w:keepLines w:val="0"/>
        <w:widowControl w:val="0"/>
        <w:shd w:val="clear" w:color="auto" w:fill="auto"/>
        <w:bidi w:val="0"/>
        <w:spacing w:before="0" w:after="160" w:line="240" w:lineRule="auto"/>
        <w:ind w:right="0" w:firstLine="0"/>
        <w:jc w:val="both"/>
      </w:pPr>
      <w:r>
        <w:rPr>
          <w:color w:val="6B6B6B"/>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29.03.2023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21.06.2024</w:t>
      </w:r>
    </w:p>
    <w:p>
      <w:pPr>
        <w:pStyle w:val="Style13"/>
        <w:keepNext w:val="0"/>
        <w:keepLines w:val="0"/>
        <w:widowControl w:val="0"/>
        <w:shd w:val="clear" w:color="auto" w:fill="auto"/>
        <w:bidi w:val="0"/>
        <w:spacing w:before="0" w:after="62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33"/>
        <w:keepNext w:val="0"/>
        <w:keepLines w:val="0"/>
        <w:widowControl w:val="0"/>
        <w:shd w:val="clear" w:color="auto" w:fill="auto"/>
        <w:bidi w:val="0"/>
        <w:spacing w:before="0" w:after="90" w:line="218" w:lineRule="auto"/>
        <w:ind w:left="3740" w:right="0" w:firstLine="40"/>
        <w:jc w:val="both"/>
      </w:pPr>
      <w:r>
        <mc:AlternateContent>
          <mc:Choice Requires="wps">
            <w:drawing>
              <wp:anchor distT="0" distB="0" distL="114300" distR="114300" simplePos="0" relativeHeight="125829384" behindDoc="0" locked="0" layoutInCell="1" allowOverlap="1">
                <wp:simplePos x="0" y="0"/>
                <wp:positionH relativeFrom="page">
                  <wp:posOffset>6220460</wp:posOffset>
                </wp:positionH>
                <wp:positionV relativeFrom="paragraph">
                  <wp:posOffset>38100</wp:posOffset>
                </wp:positionV>
                <wp:extent cx="993775" cy="234950"/>
                <wp:wrapSquare wrapText="bothSides"/>
                <wp:docPr id="19" name="Shape 19"/>
                <a:graphic xmlns:a="http://schemas.openxmlformats.org/drawingml/2006/main">
                  <a:graphicData uri="http://schemas.microsoft.com/office/word/2010/wordprocessingShape">
                    <wps:wsp>
                      <wps:cNvSpPr txBox="1"/>
                      <wps:spPr>
                        <a:xfrm>
                          <a:ext cx="99377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Оверина</w:t>
                            </w:r>
                          </w:p>
                        </w:txbxContent>
                      </wps:txbx>
                      <wps:bodyPr wrap="none" lIns="0" tIns="0" rIns="0" bIns="0">
                        <a:noAutoFit/>
                      </wps:bodyPr>
                    </wps:wsp>
                  </a:graphicData>
                </a:graphic>
              </wp:anchor>
            </w:drawing>
          </mc:Choice>
          <mc:Fallback>
            <w:pict>
              <v:shape id="_x0000_s1045" type="#_x0000_t202" style="position:absolute;margin-left:489.80000000000001pt;margin-top:3.pt;width:78.25pt;height:18.5pt;z-index:-125829369;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Оверина</w:t>
                      </w:r>
                    </w:p>
                  </w:txbxContent>
                </v:textbox>
                <w10:wrap type="square" anchorx="page"/>
              </v:shape>
            </w:pict>
          </mc:Fallback>
        </mc:AlternateContent>
      </w: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p>
      <w:pPr>
        <w:pStyle w:val="Style3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b/>
          <w:bCs/>
          <w:color w:val="E7E7E7"/>
          <w:spacing w:val="0"/>
          <w:w w:val="100"/>
          <w:position w:val="0"/>
          <w:sz w:val="11"/>
          <w:szCs w:val="11"/>
          <w:shd w:val="clear" w:color="auto" w:fill="auto"/>
          <w:lang w:val="ru-RU" w:eastAsia="ru-RU" w:bidi="ru-RU"/>
        </w:rPr>
        <w:t>СВЕДЕНИЯ О СЕРТИФИКАТЕ ЭП</w:t>
      </w:r>
    </w:p>
    <w:p>
      <w:pPr>
        <w:pStyle w:val="Style40"/>
        <w:keepNext w:val="0"/>
        <w:keepLines w:val="0"/>
        <w:widowControl w:val="0"/>
        <w:shd w:val="clear" w:color="auto" w:fill="auto"/>
        <w:bidi w:val="0"/>
        <w:spacing w:before="0" w:after="0" w:line="240" w:lineRule="auto"/>
        <w:ind w:right="0" w:firstLine="0"/>
        <w:jc w:val="both"/>
      </w:pPr>
      <w:r>
        <w:rPr>
          <w:color w:val="000000"/>
          <w:spacing w:val="0"/>
          <w:w w:val="100"/>
          <w:position w:val="0"/>
          <w:shd w:val="clear" w:color="auto" w:fill="auto"/>
          <w:lang w:val="ru-RU" w:eastAsia="ru-RU" w:bidi="ru-RU"/>
        </w:rPr>
        <w:t xml:space="preserve">Кому </w:t>
      </w:r>
      <w:r>
        <w:rPr>
          <w:color w:val="6B6B6B"/>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Оверина Анна Владимировна</w:t>
      </w:r>
    </w:p>
    <w:p>
      <w:pPr>
        <w:pStyle w:val="Style40"/>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О0ЕОВЕЕЕ1890Е531ВВ4621С64СЕ7Е7936О</w:t>
      </w:r>
    </w:p>
    <w:p>
      <w:pPr>
        <w:pStyle w:val="Style40"/>
        <w:keepNext w:val="0"/>
        <w:keepLines w:val="0"/>
        <w:widowControl w:val="0"/>
        <w:shd w:val="clear" w:color="auto" w:fill="auto"/>
        <w:bidi w:val="0"/>
        <w:spacing w:before="0" w:after="0" w:line="240" w:lineRule="auto"/>
        <w:ind w:right="0" w:firstLine="0"/>
        <w:jc w:val="both"/>
      </w:pPr>
      <w:r>
        <w:rPr>
          <w:color w:val="6B6B6B"/>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15.05.2023 </w:t>
      </w:r>
      <w:r>
        <w:rPr>
          <w:color w:val="000000"/>
          <w:spacing w:val="0"/>
          <w:w w:val="100"/>
          <w:position w:val="0"/>
          <w:shd w:val="clear" w:color="auto" w:fill="auto"/>
          <w:lang w:val="ru-RU" w:eastAsia="ru-RU" w:bidi="ru-RU"/>
        </w:rPr>
        <w:t xml:space="preserve">по </w:t>
      </w:r>
      <w:r>
        <w:rPr>
          <w:color w:val="212121"/>
          <w:spacing w:val="0"/>
          <w:w w:val="100"/>
          <w:position w:val="0"/>
          <w:shd w:val="clear" w:color="auto" w:fill="auto"/>
          <w:lang w:val="ru-RU" w:eastAsia="ru-RU" w:bidi="ru-RU"/>
        </w:rPr>
        <w:t>07.08.2024</w:t>
      </w:r>
    </w:p>
    <w:p>
      <w:pPr>
        <w:widowControl w:val="0"/>
        <w:spacing w:line="1" w:lineRule="exact"/>
        <w:sectPr>
          <w:headerReference w:type="default" r:id="rId15"/>
          <w:footerReference w:type="default" r:id="rId16"/>
          <w:footnotePr>
            <w:pos w:val="pageBottom"/>
            <w:numFmt w:val="decimal"/>
            <w:numRestart w:val="continuous"/>
          </w:footnotePr>
          <w:pgSz w:w="11900" w:h="16840"/>
          <w:pgMar w:top="1662" w:right="523" w:bottom="1340" w:left="1081" w:header="0" w:footer="3" w:gutter="0"/>
          <w:cols w:space="720"/>
          <w:noEndnote/>
          <w:rtlGutter w:val="0"/>
          <w:docGrid w:linePitch="360"/>
        </w:sectPr>
      </w:pPr>
      <w:r>
        <w:drawing>
          <wp:anchor distT="279400" distB="155575" distL="0" distR="1786255" simplePos="0" relativeHeight="125829386" behindDoc="0" locked="0" layoutInCell="1" allowOverlap="1">
            <wp:simplePos x="0" y="0"/>
            <wp:positionH relativeFrom="page">
              <wp:posOffset>2666365</wp:posOffset>
            </wp:positionH>
            <wp:positionV relativeFrom="paragraph">
              <wp:posOffset>279400</wp:posOffset>
            </wp:positionV>
            <wp:extent cx="341630" cy="40259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7"/>
                    <a:stretch/>
                  </pic:blipFill>
                  <pic:spPr>
                    <a:xfrm>
                      <a:ext cx="341630" cy="4025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3071495</wp:posOffset>
                </wp:positionH>
                <wp:positionV relativeFrom="paragraph">
                  <wp:posOffset>367665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3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3" type="#_x0000_t202" style="position:absolute;margin-left:241.84999999999999pt;margin-top:28.949999999999999pt;width:135.59999999999999pt;height:20.150000000000002pt;z-index:251657731;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681990" distB="52070" distL="0" distR="0" simplePos="0" relativeHeight="125829387" behindDoc="0" locked="0" layoutInCell="1" allowOverlap="1">
                <wp:simplePos x="0" y="0"/>
                <wp:positionH relativeFrom="page">
                  <wp:posOffset>3114675</wp:posOffset>
                </wp:positionH>
                <wp:positionV relativeFrom="paragraph">
                  <wp:posOffset>681990</wp:posOffset>
                </wp:positionV>
                <wp:extent cx="1280160" cy="100330"/>
                <wp:wrapTopAndBottom/>
                <wp:docPr id="29" name="Shape 2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3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7E7E7"/>
                                <w:spacing w:val="0"/>
                                <w:w w:val="100"/>
                                <w:position w:val="0"/>
                                <w:sz w:val="11"/>
                                <w:szCs w:val="11"/>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55" type="#_x0000_t202" style="position:absolute;margin-left:245.25pt;margin-top:53.700000000000003pt;width:100.8pt;height:7.9000000000000004pt;z-index:-125829366;mso-wrap-distance-left:0;mso-wrap-distance-top:53.700000000000003pt;mso-wrap-distance-right:0;mso-wrap-distance-bottom:4.0999999999999996pt;mso-position-horizontal-relative:page" filled="f" stroked="f">
                <v:textbox inset="0,0,0,0">
                  <w:txbxContent>
                    <w:p>
                      <w:pPr>
                        <w:pStyle w:val="Style3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7E7E7"/>
                          <w:spacing w:val="0"/>
                          <w:w w:val="100"/>
                          <w:position w:val="0"/>
                          <w:sz w:val="11"/>
                          <w:szCs w:val="11"/>
                          <w:shd w:val="clear" w:color="auto" w:fill="auto"/>
                          <w:lang w:val="ru-RU" w:eastAsia="ru-RU" w:bidi="ru-RU"/>
                        </w:rPr>
                        <w:t>СВЕДЕНИЯ О СЕРТИФИКАТЕ ЭП</w:t>
                      </w:r>
                    </w:p>
                  </w:txbxContent>
                </v:textbox>
                <w10:wrap type="topAndBottom" anchorx="page"/>
              </v:shape>
            </w:pict>
          </mc:Fallback>
        </mc:AlternateContent>
      </w:r>
      <w:r>
        <mc:AlternateContent>
          <mc:Choice Requires="wps">
            <w:drawing>
              <wp:anchor distT="626745" distB="635" distL="0" distR="0" simplePos="0" relativeHeight="125829389" behindDoc="0" locked="0" layoutInCell="1" allowOverlap="1">
                <wp:simplePos x="0" y="0"/>
                <wp:positionH relativeFrom="page">
                  <wp:posOffset>6073775</wp:posOffset>
                </wp:positionH>
                <wp:positionV relativeFrom="paragraph">
                  <wp:posOffset>626745</wp:posOffset>
                </wp:positionV>
                <wp:extent cx="1136650" cy="207010"/>
                <wp:wrapTopAndBottom/>
                <wp:docPr id="31" name="Shape 31"/>
                <a:graphic xmlns:a="http://schemas.openxmlformats.org/drawingml/2006/main">
                  <a:graphicData uri="http://schemas.microsoft.com/office/word/2010/wordprocessingShape">
                    <wps:wsp>
                      <wps:cNvSpPr txBox="1"/>
                      <wps:spPr>
                        <a:xfrm>
                          <a:ext cx="1136650" cy="2070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А.Д. Растегаева</w:t>
                            </w:r>
                          </w:p>
                        </w:txbxContent>
                      </wps:txbx>
                      <wps:bodyPr wrap="none" lIns="0" tIns="0" rIns="0" bIns="0">
                        <a:noAutoFit/>
                      </wps:bodyPr>
                    </wps:wsp>
                  </a:graphicData>
                </a:graphic>
              </wp:anchor>
            </w:drawing>
          </mc:Choice>
          <mc:Fallback>
            <w:pict>
              <v:shape id="_x0000_s1057" type="#_x0000_t202" style="position:absolute;margin-left:478.25pt;margin-top:49.350000000000001pt;width:89.5pt;height:16.300000000000001pt;z-index:-125829364;mso-wrap-distance-left:0;mso-wrap-distance-top:49.350000000000001pt;mso-wrap-distance-right:0;mso-wrap-distance-bottom:5.0000000000000003e-00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А.Д. Растегаева</w:t>
                      </w:r>
                    </w:p>
                  </w:txbxContent>
                </v:textbox>
                <w10:wrap type="topAndBottom" anchorx="page"/>
              </v:shape>
            </w:pict>
          </mc:Fallback>
        </mc:AlternateContent>
      </w:r>
    </w:p>
    <w:p>
      <w:pPr>
        <w:pStyle w:val="Style40"/>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B6B6B"/>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Растегаева Анна Дмитриевна</w:t>
      </w:r>
    </w:p>
    <w:p>
      <w:pPr>
        <w:pStyle w:val="Style4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B6B6B"/>
          <w:spacing w:val="0"/>
          <w:w w:val="100"/>
          <w:position w:val="0"/>
          <w:shd w:val="clear" w:color="auto" w:fill="auto"/>
          <w:lang w:val="ru-RU" w:eastAsia="ru-RU" w:bidi="ru-RU"/>
        </w:rPr>
        <w:t>41</w:t>
      </w:r>
      <w:r>
        <w:rPr>
          <w:spacing w:val="0"/>
          <w:w w:val="100"/>
          <w:position w:val="0"/>
          <w:shd w:val="clear" w:color="auto" w:fill="auto"/>
          <w:lang w:val="ru-RU" w:eastAsia="ru-RU" w:bidi="ru-RU"/>
        </w:rPr>
        <w:t>17Э9АЕ6ЕЕОСЕ743О61АЕЕ759932Е1</w:t>
      </w:r>
      <w:r>
        <w:rPr>
          <w:color w:val="000000"/>
          <w:spacing w:val="0"/>
          <w:w w:val="100"/>
          <w:position w:val="0"/>
          <w:shd w:val="clear" w:color="auto" w:fill="auto"/>
          <w:lang w:val="ru-RU" w:eastAsia="ru-RU" w:bidi="ru-RU"/>
        </w:rPr>
        <w:t>Е</w:t>
      </w:r>
    </w:p>
    <w:p>
      <w:pPr>
        <w:pStyle w:val="Style40"/>
        <w:keepNext w:val="0"/>
        <w:keepLines w:val="0"/>
        <w:widowControl w:val="0"/>
        <w:shd w:val="clear" w:color="auto" w:fill="auto"/>
        <w:bidi w:val="0"/>
        <w:spacing w:before="0" w:after="0" w:line="240" w:lineRule="auto"/>
        <w:ind w:right="0" w:firstLine="0"/>
        <w:jc w:val="left"/>
      </w:pPr>
      <w:r>
        <w:rPr>
          <w:color w:val="6B6B6B"/>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B6B6B"/>
          <w:spacing w:val="0"/>
          <w:w w:val="100"/>
          <w:position w:val="0"/>
          <w:shd w:val="clear" w:color="auto" w:fill="auto"/>
          <w:lang w:val="ru-RU" w:eastAsia="ru-RU" w:bidi="ru-RU"/>
        </w:rPr>
        <w:t xml:space="preserve">09.11.2022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02.02.2024</w:t>
      </w:r>
    </w:p>
    <w:sectPr>
      <w:footnotePr>
        <w:pos w:val="pageBottom"/>
        <w:numFmt w:val="decimal"/>
        <w:numRestart w:val="continuous"/>
      </w:footnotePr>
      <w:type w:val="continuous"/>
      <w:pgSz w:w="11900" w:h="16840"/>
      <w:pgMar w:top="1666" w:right="536" w:bottom="1666"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721360</wp:posOffset>
              </wp:positionH>
              <wp:positionV relativeFrom="page">
                <wp:posOffset>10016490</wp:posOffset>
              </wp:positionV>
              <wp:extent cx="572770" cy="100330"/>
              <wp:wrapNone/>
              <wp:docPr id="5" name="Shape 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2024-300</w:t>
                          </w:r>
                        </w:p>
                      </w:txbxContent>
                    </wps:txbx>
                    <wps:bodyPr wrap="none" lIns="0" tIns="0" rIns="0" bIns="0">
                      <a:spAutoFit/>
                    </wps:bodyPr>
                  </wps:wsp>
                </a:graphicData>
              </a:graphic>
            </wp:anchor>
          </w:drawing>
        </mc:Choice>
        <mc:Fallback>
          <w:pict>
            <v:shape id="_x0000_s1031" type="#_x0000_t202" style="position:absolute;margin-left:56.800000000000004pt;margin-top:788.7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2024-300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572770" cy="100330"/>
              <wp:wrapNone/>
              <wp:docPr id="7" name="Shape 7"/>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2024-300</w:t>
                          </w:r>
                        </w:p>
                      </w:txbxContent>
                    </wps:txbx>
                    <wps:bodyPr wrap="none" lIns="0" tIns="0" rIns="0" bIns="0">
                      <a:spAutoFit/>
                    </wps:bodyPr>
                  </wps:wsp>
                </a:graphicData>
              </a:graphic>
            </wp:anchor>
          </w:drawing>
        </mc:Choice>
        <mc:Fallback>
          <w:pict>
            <v:shape id="_x0000_s1033" type="#_x0000_t202" style="position:absolute;margin-left:57.pt;margin-top:776.20000000000005pt;width:45.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2024-300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721360</wp:posOffset>
              </wp:positionH>
              <wp:positionV relativeFrom="page">
                <wp:posOffset>10016490</wp:posOffset>
              </wp:positionV>
              <wp:extent cx="572770" cy="100330"/>
              <wp:wrapNone/>
              <wp:docPr id="23" name="Shape 2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2024-300</w:t>
                          </w:r>
                        </w:p>
                      </w:txbxContent>
                    </wps:txbx>
                    <wps:bodyPr wrap="none" lIns="0" tIns="0" rIns="0" bIns="0">
                      <a:spAutoFit/>
                    </wps:bodyPr>
                  </wps:wsp>
                </a:graphicData>
              </a:graphic>
            </wp:anchor>
          </w:drawing>
        </mc:Choice>
        <mc:Fallback>
          <w:pict>
            <v:shape id="_x0000_s1049" type="#_x0000_t202" style="position:absolute;margin-left:56.800000000000004pt;margin-top:788.70000000000005pt;width:45.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2024-300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3900805</wp:posOffset>
              </wp:positionH>
              <wp:positionV relativeFrom="page">
                <wp:posOffset>668655</wp:posOffset>
              </wp:positionV>
              <wp:extent cx="121920" cy="106680"/>
              <wp:wrapNone/>
              <wp:docPr id="3" name="Shape 3"/>
              <a:graphic xmlns:a="http://schemas.openxmlformats.org/drawingml/2006/main">
                <a:graphicData uri="http://schemas.microsoft.com/office/word/2010/wordprocessingShape">
                  <wps:wsp>
                    <wps:cNvSpPr txBox="1"/>
                    <wps:spPr>
                      <a:xfrm>
                        <a:ext cx="12192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15000000000003pt;margin-top:52.649999999999999pt;width:9.5999999999999996pt;height:8.4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3929380</wp:posOffset>
              </wp:positionH>
              <wp:positionV relativeFrom="page">
                <wp:posOffset>759460</wp:posOffset>
              </wp:positionV>
              <wp:extent cx="57785" cy="103505"/>
              <wp:wrapNone/>
              <wp:docPr id="13" name="Shape 13"/>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40000000000003pt;margin-top:59.800000000000004pt;width:4.5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3900805</wp:posOffset>
              </wp:positionH>
              <wp:positionV relativeFrom="page">
                <wp:posOffset>668655</wp:posOffset>
              </wp:positionV>
              <wp:extent cx="121920" cy="106680"/>
              <wp:wrapNone/>
              <wp:docPr id="21" name="Shape 21"/>
              <a:graphic xmlns:a="http://schemas.openxmlformats.org/drawingml/2006/main">
                <a:graphicData uri="http://schemas.microsoft.com/office/word/2010/wordprocessingShape">
                  <wps:wsp>
                    <wps:cNvSpPr txBox="1"/>
                    <wps:spPr>
                      <a:xfrm>
                        <a:ext cx="12192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7.15000000000003pt;margin-top:52.649999999999999pt;width:9.5999999999999996pt;height:8.4000000000000004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2"/>
      <w:numFmt w:val="decimal"/>
      <w:lvlText w:val="%1."/>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3"/>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360A4"/>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360A4"/>
      <w:sz w:val="19"/>
      <w:szCs w:val="19"/>
      <w:u w:val="none"/>
    </w:rPr>
  </w:style>
  <w:style w:type="character" w:customStyle="1" w:styleId="CharStyle11">
    <w:name w:val="Основной текст (7)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Основной текст (6)_"/>
    <w:basedOn w:val="DefaultParagraphFont"/>
    <w:link w:val="Style16"/>
    <w:rPr>
      <w:rFonts w:ascii="Arial" w:eastAsia="Arial" w:hAnsi="Arial" w:cs="Arial"/>
      <w:b w:val="0"/>
      <w:bCs w:val="0"/>
      <w:i w:val="0"/>
      <w:iCs w:val="0"/>
      <w:smallCaps w:val="0"/>
      <w:strike w:val="0"/>
      <w:sz w:val="32"/>
      <w:szCs w:val="32"/>
      <w:u w:val="none"/>
    </w:rPr>
  </w:style>
  <w:style w:type="character" w:customStyle="1" w:styleId="CharStyle20">
    <w:name w:val="Подпись к таблице_"/>
    <w:basedOn w:val="DefaultParagraphFont"/>
    <w:link w:val="Style19"/>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Другое_"/>
    <w:basedOn w:val="DefaultParagraphFont"/>
    <w:link w:val="Style21"/>
    <w:rPr>
      <w:rFonts w:ascii="Times New Roman" w:eastAsia="Times New Roman" w:hAnsi="Times New Roman" w:cs="Times New Roman"/>
      <w:b w:val="0"/>
      <w:bCs w:val="0"/>
      <w:i w:val="0"/>
      <w:iCs w:val="0"/>
      <w:smallCaps w:val="0"/>
      <w:strike w:val="0"/>
      <w:sz w:val="26"/>
      <w:szCs w:val="26"/>
      <w:u w:val="none"/>
    </w:rPr>
  </w:style>
  <w:style w:type="character" w:customStyle="1" w:styleId="CharStyle29">
    <w:name w:val="Заголовок №1_"/>
    <w:basedOn w:val="DefaultParagraphFont"/>
    <w:link w:val="Style28"/>
    <w:rPr>
      <w:rFonts w:ascii="Times New Roman" w:eastAsia="Times New Roman" w:hAnsi="Times New Roman" w:cs="Times New Roman"/>
      <w:b w:val="0"/>
      <w:bCs w:val="0"/>
      <w:i w:val="0"/>
      <w:iCs w:val="0"/>
      <w:smallCaps w:val="0"/>
      <w:strike w:val="0"/>
      <w:sz w:val="26"/>
      <w:szCs w:val="26"/>
      <w:u w:val="none"/>
    </w:rPr>
  </w:style>
  <w:style w:type="character" w:customStyle="1" w:styleId="CharStyle31">
    <w:name w:val="Подпись к картинке_"/>
    <w:basedOn w:val="DefaultParagraphFont"/>
    <w:link w:val="Style30"/>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34">
    <w:name w:val="Основной текст (4)_"/>
    <w:basedOn w:val="DefaultParagraphFont"/>
    <w:link w:val="Style33"/>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41">
    <w:name w:val="Основной текст (2)_"/>
    <w:basedOn w:val="DefaultParagraphFont"/>
    <w:link w:val="Style40"/>
    <w:rPr>
      <w:rFonts w:ascii="Arial" w:eastAsia="Arial" w:hAnsi="Arial" w:cs="Arial"/>
      <w:b w:val="0"/>
      <w:bCs w:val="0"/>
      <w:i w:val="0"/>
      <w:iCs w:val="0"/>
      <w:smallCaps w:val="0"/>
      <w:strike w:val="0"/>
      <w:color w:val="474747"/>
      <w:sz w:val="12"/>
      <w:szCs w:val="12"/>
      <w:u w:val="none"/>
    </w:rPr>
  </w:style>
  <w:style w:type="paragraph" w:customStyle="1" w:styleId="Style2">
    <w:name w:val="Основной текст (3)"/>
    <w:basedOn w:val="Normal"/>
    <w:link w:val="CharStyle3"/>
    <w:pPr>
      <w:widowControl w:val="0"/>
      <w:shd w:val="clear" w:color="auto" w:fill="auto"/>
      <w:spacing w:after="130" w:line="276" w:lineRule="auto"/>
      <w:jc w:val="center"/>
    </w:pPr>
    <w:rPr>
      <w:rFonts w:ascii="Times New Roman" w:eastAsia="Times New Roman" w:hAnsi="Times New Roman" w:cs="Times New Roman"/>
      <w:b w:val="0"/>
      <w:bCs w:val="0"/>
      <w:i w:val="0"/>
      <w:iCs w:val="0"/>
      <w:smallCaps w:val="0"/>
      <w:strike w:val="0"/>
      <w:color w:val="4360A4"/>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5)"/>
    <w:basedOn w:val="Normal"/>
    <w:link w:val="CharStyle9"/>
    <w:pPr>
      <w:widowControl w:val="0"/>
      <w:shd w:val="clear" w:color="auto" w:fill="auto"/>
      <w:spacing w:after="240" w:line="257" w:lineRule="auto"/>
      <w:jc w:val="center"/>
    </w:pPr>
    <w:rPr>
      <w:rFonts w:ascii="Times New Roman" w:eastAsia="Times New Roman" w:hAnsi="Times New Roman" w:cs="Times New Roman"/>
      <w:b/>
      <w:bCs/>
      <w:i w:val="0"/>
      <w:iCs w:val="0"/>
      <w:smallCaps w:val="0"/>
      <w:strike w:val="0"/>
      <w:color w:val="4360A4"/>
      <w:sz w:val="19"/>
      <w:szCs w:val="19"/>
      <w:u w:val="none"/>
    </w:rPr>
  </w:style>
  <w:style w:type="paragraph" w:customStyle="1" w:styleId="Style10">
    <w:name w:val="Основной текст (7)"/>
    <w:basedOn w:val="Normal"/>
    <w:link w:val="CharStyle11"/>
    <w:pPr>
      <w:widowControl w:val="0"/>
      <w:shd w:val="clear" w:color="auto" w:fill="auto"/>
      <w:spacing w:after="340"/>
      <w:ind w:firstLine="160"/>
    </w:pPr>
    <w:rPr>
      <w:rFonts w:ascii="Times New Roman" w:eastAsia="Times New Roman" w:hAnsi="Times New Roman" w:cs="Times New Roman"/>
      <w:b w:val="0"/>
      <w:bCs w:val="0"/>
      <w:i w:val="0"/>
      <w:iCs w:val="0"/>
      <w:smallCaps w:val="0"/>
      <w:strike w:val="0"/>
      <w:sz w:val="30"/>
      <w:szCs w:val="30"/>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Основной текст (6)"/>
    <w:basedOn w:val="Normal"/>
    <w:link w:val="CharStyle17"/>
    <w:pPr>
      <w:widowControl w:val="0"/>
      <w:shd w:val="clear" w:color="auto" w:fill="auto"/>
      <w:spacing w:after="260"/>
    </w:pPr>
    <w:rPr>
      <w:rFonts w:ascii="Arial" w:eastAsia="Arial" w:hAnsi="Arial" w:cs="Arial"/>
      <w:b w:val="0"/>
      <w:bCs w:val="0"/>
      <w:i w:val="0"/>
      <w:iCs w:val="0"/>
      <w:smallCaps w:val="0"/>
      <w:strike w:val="0"/>
      <w:sz w:val="32"/>
      <w:szCs w:val="32"/>
      <w:u w:val="none"/>
    </w:rPr>
  </w:style>
  <w:style w:type="paragraph" w:customStyle="1" w:styleId="Style19">
    <w:name w:val="Подпись к таблице"/>
    <w:basedOn w:val="Normal"/>
    <w:link w:val="CharStyle20"/>
    <w:pPr>
      <w:widowControl w:val="0"/>
      <w:shd w:val="clear" w:color="auto" w:fill="auto"/>
      <w:ind w:firstLine="360"/>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Другое"/>
    <w:basedOn w:val="Normal"/>
    <w:link w:val="CharStyle22"/>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8">
    <w:name w:val="Заголовок №1"/>
    <w:basedOn w:val="Normal"/>
    <w:link w:val="CharStyle29"/>
    <w:pPr>
      <w:widowControl w:val="0"/>
      <w:shd w:val="clear" w:color="auto" w:fill="auto"/>
      <w:spacing w:after="80"/>
      <w:ind w:firstLine="74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30">
    <w:name w:val="Подпись к картинке"/>
    <w:basedOn w:val="Normal"/>
    <w:link w:val="CharStyle3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33">
    <w:name w:val="Основной текст (4)"/>
    <w:basedOn w:val="Normal"/>
    <w:link w:val="CharStyle34"/>
    <w:pPr>
      <w:widowControl w:val="0"/>
      <w:shd w:val="clear" w:color="auto" w:fill="auto"/>
      <w:spacing w:after="100" w:line="228" w:lineRule="auto"/>
      <w:ind w:left="1870" w:firstLine="20"/>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40">
    <w:name w:val="Основной текст (2)"/>
    <w:basedOn w:val="Normal"/>
    <w:link w:val="CharStyle41"/>
    <w:pPr>
      <w:widowControl w:val="0"/>
      <w:shd w:val="clear" w:color="auto" w:fill="auto"/>
      <w:ind w:left="3100"/>
    </w:pPr>
    <w:rPr>
      <w:rFonts w:ascii="Arial" w:eastAsia="Arial" w:hAnsi="Arial" w:cs="Arial"/>
      <w:b w:val="0"/>
      <w:bCs w:val="0"/>
      <w:i w:val="0"/>
      <w:iCs w:val="0"/>
      <w:smallCaps w:val="0"/>
      <w:strike w:val="0"/>
      <w:color w:val="474747"/>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s>
</file>

<file path=docProps/core.xml><?xml version="1.0" encoding="utf-8"?>
<cp:coreProperties xmlns:cp="http://schemas.openxmlformats.org/package/2006/metadata/core-properties" xmlns:dc="http://purl.org/dc/elements/1.1/">
  <dc:title>Федеральный закон от 05.04.2013 N 44-ФЗ(ред. от 25.12.2023)"О контрактной системе в сфере закупок товаров, работ, услуг для обеспечения государственных и муниципальных нужд"(с изм. и доп., вступ. в силу с 01.01.2024)</dc:title>
  <dc:subject/>
  <dc:creator/>
  <cp:keywords/>
</cp:coreProperties>
</file>