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1245" distR="1059815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820420</wp:posOffset>
                </wp:positionH>
                <wp:positionV relativeFrom="paragraph">
                  <wp:posOffset>622300</wp:posOffset>
                </wp:positionV>
                <wp:extent cx="241427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  <w:tab w:pos="253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7.01.2024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1425/24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99999999999994pt;margin-top:49.pt;width:190.0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  <w:tab w:pos="253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7.01.2024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1425/24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ГАУЗ «СП № 8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8р8@хдгамто8.ги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«КЛИНИПАК»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апа^а.пеГе4оVа@^ро^п^е^.^и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077/06/106-152/2024 о нарушении</w:t>
        <w:br/>
        <w:t>законодательства о контрактной системе</w:t>
        <w:br/>
        <w:t>12.01.2024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ГАУЗ «СП № 8 ДЗМ»: К.Н. Пахомова (по доверенности №187 от 31.12.2022), (участвующий до переноса), А.В. Чепрасовой (по доверенности №191 от 31.12.2022), И.Ю. Аникеева (по доверенности №189 от 1.12.2022), (участвующий после переноса),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«КЛИНИПАК»: Т.А. Абрамова (доверенность №8 от 01.12.2023),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«КЛИНИПАК» (далее — Заявитель) на действия ГАУЗ «СП № 8 ДЗМ» (далее — Заказчик) при проведении электронного аукциона на право заключения государственного контракта на поставку пакетов для стерилизации (крафт-пакеты) для нужд ГАУЗ «СП №8 ДЗМ» (Закупка №0373200055223000050)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неправомерном отклонении своей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27.12.2023 №ИЭА1 заявка ООО «КЛИНИПАК» с идентификационным номером 338066 отклонена в том числе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2, 3 ч. 6 ст. 43 Закона 44-ФЗ), несоответствие таких информации и документов требованиям» Позиция 6 спецификации.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Пакеты «Клинипак» для медицинской паровой, газовой, плазменной и радиационной стерилизации пакеты самозапечатывающиеся (бумага/пленка) 60х200 мм (200 шт./упак.)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заявлены параметры: «Содержание сульфата не превышает 0,25%о, содержание хлорида не превышает 0,05%». Согласно требованию п.4 ч.14 Информационной карты аукционной документации «В составе заявки участник подает сведения о предлагаемых средствах согласно техническому заданию из файла «Техническое задание»,а также из структурированной формы, представляя конкретные показатели предлагаемого средства и в соответствии с инструкцией по заполнению заявки».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закупки не представил конкретные показатели по вышеуказанным параметрам. Непредставление сведений».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65" w:right="535" w:bottom="914" w:left="108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Приложении 1 к Техническому заданию в п.6 «Упаковка для стерилизации, одноразового использования» установлено: «Содержание сульфата не должно превышать 0,25%, содержание хлорида не должно превышать 0,05%».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пп. 4 п. 14 Информационной карты по проведению аукциона в требованиях к содержанию, составу заявки на участие в электронном аукционе установлено: «Характеристики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 В составе заявки участник подает сведения о предлагаемых средствах согласно техническому заданию из файла «Техническое задание», а также из структурированной формы, представляя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конкретные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показатели предлагаемого средства и в соответствии с инструкцией по заполнению заявки».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95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5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документы, подтверждающие соответствие товара, работы или услуги требованиям, установленным в соответствии с законодательством Российской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2024-1466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предложение по критериям, предусмотренным п.2 и (или) 3 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ООО «КЛИНИПАК» представлены сведения предложенных к поставке упаковок по п.6, в частности: «Содержание сульфата не превышает 0,25%, содержание хлорида не превышает 0,05%», что противоречит требованиям извещения об осуществлении закупки, поскольку участником закупки не представлено конкретное значение данного показателя согласно требованию пп.4 п.14 Информационной карты по проведению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1 - 8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частью 6 статьи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у комиссии Заказчика имелись основания для признания заявки Заявителя несоответствующей по основанию, отраженному в протоколе подведения итогов определения поставщика (подрядчика, исполнителя) и такое решение не противоречит требованиям извещения об осуществлении закупки и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 в ходе внеплановой проверки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87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Извещение, формируемое с использованием ЕИС, должно содержать информацию, предусмотренную Правилами использования каталога товаров, работ, услуг для обеспечения государственных и муниципальных нужд (далее — Правила), утвержденными Постановлением Правительства РФ от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2024-1466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— Постановление №145).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формирования информации и документов с использованием ЕИС осуществляется путем заполнения экранных форм веб-интерфейса ЕИС или путем представления в ЕИС электронного документа, содержащего сформированную информацию, посредством информационного взаимодействия.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отмечает, что формирование информации и документов с использованием ЕИС осуществляется путем заполнения экранных форм веб-интерфейса ЕИС. При формировании извещения о проведении электронного аукциона в ЕИС Заказчику надлежало указать характеристики закупаемой продукции со значениями этих характеристик в соответствующей графе.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заполняемом в структурированном виде описании объекта закупки Заказчиком не отражен весь перечень необходимых ему характеристик закупаемой продукции, указанных в Приложении № 1 к Техническому заданию и отраженных в графе «Обоснование дополнительных характеристик», которые, как установлено в ходе заседания, являются значимыми для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обращает внимание на то, что, по своей сути раздел «Обоснование дополнительных характеристик» не подразумевает указание в нем требований к характеристикам закупаемого товара, так как, исходя из наименования, такой раздел содержит в своем составе исключительно обоснование использования дополнительных значений параметров, используемых Заказчиком при описании объекта закупки, в то время как требования к характеристикам закупаемого изделия определены в разделе «Характеристики». При этом устанавливая требования подобным образом участнику закупки не представляется возможным корректно представить значения требуемых характеристик посредством заполнения структурированной формы.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Комиссией Управления установлено, что инструкция по заполнению характеристик в заявке размещена в структурированной форме напротив установленных требований из графы «Характеристики товара, работы, услуги» и не устанавливает правила чтения требуемых значений характеристик, изложенных в графе «Обоснование дополнительных характеристик»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предъявлены требования к участникам закупки о предоставлении в составе заявки значений характеристик, которые не отражены в структурированной форме извещения, а также правила чтения которых не предусмотрены извещением об осуществлении закупки, что вводит в заблуждение участников закупки и повлекло за собой отклонение заявок, согласно протоколу подведения итогов определения поставщика (подрядчика, исполнителя) от 27.12.2023 №ИЭА1.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 о нарушении Заказчиком положений п.1 ч.1 ст.33, ч.2 ст.33, п.1 ч.2 ст.42 Закона о контрактной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«КЛИНИПАК» на действия ГАУЗ «СП № 8 ДЗМ»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Признать в действиях Заказчика нарушение п.1 ч.1 ст.33, ч.2 ст.33, п. 1 ч.2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114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75pt;margin-top:26.pt;width:145.70000000000002pt;height:19.900000000000002pt;z-index:-125829372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9570" distB="0" distL="0" distR="1789430" simplePos="0" relativeHeight="125829383" behindDoc="0" locked="0" layoutInCell="1" allowOverlap="1">
            <wp:simplePos x="0" y="0"/>
            <wp:positionH relativeFrom="page">
              <wp:posOffset>3001010</wp:posOffset>
            </wp:positionH>
            <wp:positionV relativeFrom="paragraph">
              <wp:posOffset>369570</wp:posOffset>
            </wp:positionV>
            <wp:extent cx="389890" cy="57277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3497580</wp:posOffset>
                </wp:positionH>
                <wp:positionV relativeFrom="paragraph">
                  <wp:posOffset>805180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5.40000000000003pt;margin-top:63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3451860</wp:posOffset>
                </wp:positionH>
                <wp:positionV relativeFrom="paragraph">
                  <wp:posOffset>494665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1.80000000000001pt;margin-top:38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4" behindDoc="0" locked="0" layoutInCell="1" allowOverlap="1">
                <wp:simplePos x="0" y="0"/>
                <wp:positionH relativeFrom="page">
                  <wp:posOffset>6036945</wp:posOffset>
                </wp:positionH>
                <wp:positionV relativeFrom="paragraph">
                  <wp:posOffset>330200</wp:posOffset>
                </wp:positionV>
                <wp:extent cx="118237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5.35000000000002pt;margin-top:26.pt;width:93.100000000000009pt;height:19.900000000000002pt;z-index:-125829369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00Е9СЕАА6ОО6САВ20О424А9502ЕС296Е8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4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3001645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3498215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5.44999999999999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3452495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1.85000000000002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44СЕО19О689ЕВ23598ВССВР99Е1С6Е2С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0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3001645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3498215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5.44999999999999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3452495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1.85000000000002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0018Е970Е55В5023ВСС0395Е903С1035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10151110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2024-1466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9.30000000000007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2024-1466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10158730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450000000000003pt;margin-top:799.89999999999998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10151110</wp:posOffset>
              </wp:positionV>
              <wp:extent cx="6489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2024-1466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050000000000004pt;margin-top:799.30000000000007pt;width:51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2024-1466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10151110</wp:posOffset>
              </wp:positionV>
              <wp:extent cx="6489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2024-1466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050000000000004pt;margin-top:799.30000000000007pt;width:51.100000000000001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2024-1466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25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05000000000001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05000000000001pt;margin-top:37.5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