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542" w:h="1301" w:wrap="none" w:hAnchor="page" w:x="1453" w:y="1119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framePr w:w="3542" w:h="1301" w:wrap="none" w:hAnchor="page" w:x="1453" w:y="11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Ростовской области</w:t>
      </w:r>
    </w:p>
    <w:p>
      <w:pPr>
        <w:pStyle w:val="Style2"/>
        <w:keepNext w:val="0"/>
        <w:keepLines w:val="0"/>
        <w:framePr w:w="3216" w:h="1190" w:wrap="none" w:hAnchor="page" w:x="1491" w:y="2617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Ворошиловский, 2/2, офис 403</w:t>
        <w:br/>
        <w:t>г. Ростов-на-Дону, 344006</w:t>
        <w:br/>
        <w:t>тел. (863) 263-31-04, факс (863) 240-99-59</w:t>
      </w:r>
    </w:p>
    <w:p>
      <w:pPr>
        <w:pStyle w:val="Style2"/>
        <w:keepNext w:val="0"/>
        <w:keepLines w:val="0"/>
        <w:framePr w:w="3216" w:h="1190" w:wrap="none" w:hAnchor="page" w:x="1491" w:y="2617"/>
        <w:widowControl w:val="0"/>
        <w:shd w:val="clear" w:color="auto" w:fill="auto"/>
        <w:bidi w:val="0"/>
        <w:spacing w:before="0" w:after="6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(о61@Гав.§оу.ги</w:t>
      </w:r>
    </w:p>
    <w:p>
      <w:pPr>
        <w:pStyle w:val="Style7"/>
        <w:keepNext w:val="0"/>
        <w:keepLines w:val="0"/>
        <w:framePr w:w="3216" w:h="1190" w:wrap="none" w:hAnchor="page" w:x="1491" w:y="2617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штамп</w:t>
      </w:r>
    </w:p>
    <w:p>
      <w:pPr>
        <w:pStyle w:val="Style7"/>
        <w:keepNext w:val="0"/>
        <w:keepLines w:val="0"/>
        <w:framePr w:w="3216" w:h="1190" w:wrap="none" w:hAnchor="page" w:x="1491" w:y="2617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регистрации</w:t>
      </w:r>
      <w:r>
        <w:fldChar w:fldCharType="end"/>
      </w:r>
    </w:p>
    <w:p>
      <w:pPr>
        <w:pStyle w:val="Style5"/>
        <w:keepNext w:val="0"/>
        <w:keepLines w:val="0"/>
        <w:framePr w:w="4061" w:h="245" w:wrap="none" w:hAnchor="page" w:x="1141" w:y="41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0"/>
        <w:keepNext w:val="0"/>
        <w:keepLines w:val="0"/>
        <w:framePr w:w="4814" w:h="3931" w:wrap="none" w:hAnchor="page" w:x="640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«Медико-Производственная Компания «Елец»</w:t>
      </w:r>
    </w:p>
    <w:p>
      <w:pPr>
        <w:pStyle w:val="Style10"/>
        <w:keepNext w:val="0"/>
        <w:keepLines w:val="0"/>
        <w:framePr w:w="4814" w:h="3931" w:wrap="none" w:hAnchor="page" w:x="640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399770, Липецкая обл., г. Елец, пер.</w:t>
      </w:r>
    </w:p>
    <w:p>
      <w:pPr>
        <w:pStyle w:val="Style10"/>
        <w:keepNext w:val="0"/>
        <w:keepLines w:val="0"/>
        <w:framePr w:w="4814" w:h="3931" w:wrap="none" w:hAnchor="page" w:x="640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Кирпичный д. 27</w:t>
      </w:r>
    </w:p>
    <w:p>
      <w:pPr>
        <w:pStyle w:val="Style10"/>
        <w:keepNext w:val="0"/>
        <w:keepLines w:val="0"/>
        <w:framePr w:w="4814" w:h="3931" w:wrap="none" w:hAnchor="page" w:x="6406" w:y="87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трк-тагке1тд@таП.ш</w:t>
      </w:r>
    </w:p>
    <w:p>
      <w:pPr>
        <w:pStyle w:val="Style10"/>
        <w:keepNext w:val="0"/>
        <w:keepLines w:val="0"/>
        <w:framePr w:w="4814" w:h="3931" w:wrap="none" w:hAnchor="page" w:x="6406" w:y="87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Акционерное общество «Сбербанк-АСТ» ко@8ЬегЬапк-а8Еш; тГо@8ЬегЬапк-а81.ш</w:t>
      </w:r>
    </w:p>
    <w:p>
      <w:pPr>
        <w:pStyle w:val="Style10"/>
        <w:keepNext w:val="0"/>
        <w:keepLines w:val="0"/>
        <w:framePr w:w="4814" w:h="3931" w:wrap="none" w:hAnchor="page" w:x="640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ГБУ РО "Центральная городская больница им.</w:t>
      </w:r>
    </w:p>
    <w:p>
      <w:pPr>
        <w:pStyle w:val="Style10"/>
        <w:keepNext w:val="0"/>
        <w:keepLines w:val="0"/>
        <w:framePr w:w="4814" w:h="3931" w:wrap="none" w:hAnchor="page" w:x="640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Н.А. Семашко" в городе Ростове-на-Дону 344010, Ростовская обл, г Ростов-на-Дону, пр- кт Ворошиловский, дом 105</w:t>
      </w:r>
    </w:p>
    <w:p>
      <w:pPr>
        <w:pStyle w:val="Style10"/>
        <w:keepNext w:val="0"/>
        <w:keepLines w:val="0"/>
        <w:framePr w:w="4814" w:h="3931" w:wrap="none" w:hAnchor="page" w:x="6406" w:y="87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т1рихдЬ1@таП.ш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9753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726440</wp:posOffset>
            </wp:positionH>
            <wp:positionV relativeFrom="margin">
              <wp:posOffset>3078480</wp:posOffset>
            </wp:positionV>
            <wp:extent cx="182880" cy="17081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82880" cy="1708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36" w:line="1" w:lineRule="exact"/>
      </w:pPr>
    </w:p>
    <w:p>
      <w:pPr>
        <w:widowControl w:val="0"/>
        <w:spacing w:line="1" w:lineRule="exac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493" w:bottom="1216" w:left="109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результатам рассмотрения дела</w:t>
        <w:br/>
        <w:t>№061/06/42-11/2024</w:t>
      </w:r>
      <w:bookmarkEnd w:id="2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25400</wp:posOffset>
                </wp:positionV>
                <wp:extent cx="697865" cy="21653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786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12.01.2024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6.75pt;margin-top:2.pt;width:54.950000000000003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12.01.2024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Ростов-на-Дону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Ростовской области (далее - Ростовское УФАС России, Комиссия) по контролю соблюдения законодательства в сфере закупок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41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  <w:tab/>
        <w:t>М.А. Благодарев,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41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  <w:tab/>
        <w:t>С.А. Евстратова,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87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В.О. Беркутов, рассмотрев дело №061/06/42-11/2024 по жалобе ООО «МПК «Елец» (далее - Заявитель) о нарушении ГБУ РО «ЦГБ им. Н.А. Семашко» в г. Ростове-на-Дону (далее - Заказчик) норм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Закон), при проведении открытого аукциона в электронной форме №0358300068923000652 «Поставка медицинских изделий для нужд ГБУ РО «ЦГБ им. Н.А. Семашко» в г. Ростове-на-Дону» (далее - аукцион) путем использования системы видеоконференц-связи (ВКС) при участии представителя Заказчика - Бергельсон Е.Е. (доверенность от 09.01.2023), в отсутствие представителя Заявителя, уведомленного надлежащим образом,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4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Ростовское УФАС России поступила жалоба ООО «МПК «Елец» на действия ГБУ РО «ЦГБ им. Н.А. Семашко» в г. Ростове-на-Дону при разработке извещения к электронному аукциону.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в возражениях на жалобу: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отрицал нарушения Закона в действиях Заказчика;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указал причины формирования спорных описания объекта закупки и положений извещения;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представил пояснения по доводу жалобы.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ч.ч.1,3 ст.99 Закона, в ходе рассмотрения дела установлено следующее.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6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Заказчиком в Единой информационной системе (ЕИС) на официальном сайте 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smallCaps/>
          <w:color w:val="000000"/>
          <w:spacing w:val="0"/>
          <w:w w:val="100"/>
          <w:position w:val="0"/>
          <w:sz w:val="17"/>
          <w:szCs w:val="17"/>
          <w:u w:val="single"/>
          <w:shd w:val="clear" w:color="auto" w:fill="auto"/>
          <w:lang w:val="ru-RU" w:eastAsia="ru-RU" w:bidi="ru-RU"/>
        </w:rPr>
        <w:t>\у\у\у.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 хакиркрдру. ги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22.12.2023 размещено извещение о проведении электронного аукциона №0358300068923000652, согласно которому: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установлены дата и время окончания подачи заявок - 09.01.2024 08:00 (МСК);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7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(НМЦК) составила 5 200 260,00 рублей; 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подведения итогов электронного аукциона от 11.01.2024 №ИЭА1, на участие в закупке подано 2 заявки.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доводу жалобы Заявителя, определенная Заказчиком совокупность характеристик соответствует товарам исключительно иностранного происхождения.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1 ч. 2 ст. 42 Закона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1 ч. 1 ст. 33 Закона установлено, что Заказчик в случаях, предусмотренных настоящим Федеральным законом, при описании объекта закупки должен руководствоваться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совокупного толкования п.1,2 ч.1, ч.2 ст.33 Закона следует, что описание объекта закупки должно носить объективный характер, то есть быть продиктовано истинными (а не мнимыми и недоказанными) потребностями заказчика, а также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требований, удовлетворить которые может лишь ограниченный круг лиц (при отсутствии доказательств действительной необходимости в установлении таких требований).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объекта закупки - это фиксация заказчиком в извещении о закупке качественных и количественных характеристик, признаков товара, обусловливающих их способность удовлетворять потребности и запросы заказчика, соответствовать своему назначению и предъявляемым требованиям.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Такая фиксация требований заказчика позволяет идентифицировать объект закупки, установить результат, достижение которого признается со стороны заказчика должным исполнением контракта.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Положения законодательства о контрактной системе не обязывают заказчика формировать описание объекта закупки так, чтобы оно соответствовало всем товарам, представленным на соответствующем рынке, либо соответствовало товарам только российского происхождения.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Материалами дела не подтвержден факт ограничения количества участников закупки включением в документацию спорных требований к характеристикам приобретаемого товара, тогда как именно это обстоятельство является определяющим для цели признания действий Заказчика противоречащими п. 1 ч. 1 ст. 33 Закона.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Данный вывод подтверждается судебной практикой: Постановление арбитражного суда Северо-Кавказского округа от 06.03.2020 г. по делу № А32-25222/2019, Постановление арбитражного суда Северо-Кавказского округа от 20.12.2019 г. по делу № А32-17217/2019,</w:t>
      </w:r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2962" w:val="center"/>
          <w:tab w:pos="4402" w:val="right"/>
          <w:tab w:pos="5338" w:val="right"/>
          <w:tab w:pos="5542" w:val="left"/>
          <w:tab w:pos="6864" w:val="right"/>
          <w:tab w:pos="7099" w:val="right"/>
          <w:tab w:pos="7507" w:val="right"/>
          <w:tab w:pos="8098" w:val="right"/>
          <w:tab w:pos="8448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Арбитражного</w:t>
        <w:tab/>
        <w:t>суда</w:t>
        <w:tab/>
        <w:t>Ростовской</w:t>
        <w:tab/>
        <w:t>области</w:t>
        <w:tab/>
        <w:t>от</w:t>
        <w:tab/>
        <w:t>11.05.2021</w:t>
        <w:tab/>
        <w:t>г.</w:t>
        <w:tab/>
        <w:t>по</w:t>
        <w:tab/>
        <w:t>делу</w:t>
        <w:tab/>
        <w:t>№ А53-2740/2021,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2962" w:val="center"/>
          <w:tab w:pos="4402" w:val="right"/>
          <w:tab w:pos="5338" w:val="right"/>
          <w:tab w:pos="5542" w:val="left"/>
          <w:tab w:pos="6864" w:val="right"/>
          <w:tab w:pos="7099" w:val="right"/>
          <w:tab w:pos="7507" w:val="right"/>
          <w:tab w:pos="8098" w:val="right"/>
          <w:tab w:pos="8448" w:val="right"/>
          <w:tab w:pos="10176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Арбитражного</w:t>
        <w:tab/>
        <w:t>суда</w:t>
        <w:tab/>
        <w:t>Ростовской</w:t>
        <w:tab/>
        <w:t>области</w:t>
        <w:tab/>
        <w:t>от</w:t>
        <w:tab/>
        <w:t>25.02.2021</w:t>
        <w:tab/>
        <w:t>г.</w:t>
        <w:tab/>
        <w:t>по</w:t>
        <w:tab/>
        <w:t>делу</w:t>
        <w:tab/>
        <w:t>№</w:t>
        <w:tab/>
        <w:t>А53-37572/2020,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2962" w:val="center"/>
          <w:tab w:pos="4402" w:val="right"/>
          <w:tab w:pos="5338" w:val="right"/>
          <w:tab w:pos="5542" w:val="left"/>
          <w:tab w:pos="6864" w:val="right"/>
          <w:tab w:pos="7099" w:val="right"/>
          <w:tab w:pos="7507" w:val="right"/>
          <w:tab w:pos="8098" w:val="right"/>
          <w:tab w:pos="8448" w:val="right"/>
          <w:tab w:pos="10176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Арбитражного</w:t>
        <w:tab/>
        <w:t>суда</w:t>
        <w:tab/>
        <w:t>Ростовской</w:t>
        <w:tab/>
        <w:t>области</w:t>
        <w:tab/>
        <w:t>от</w:t>
        <w:tab/>
        <w:t>07.09.2020</w:t>
        <w:tab/>
        <w:t>г.</w:t>
        <w:tab/>
        <w:t>по</w:t>
        <w:tab/>
        <w:t>делу</w:t>
        <w:tab/>
        <w:t>№</w:t>
        <w:tab/>
        <w:t>А53-13019/2020,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2962" w:val="center"/>
          <w:tab w:pos="4402" w:val="right"/>
          <w:tab w:pos="5338" w:val="right"/>
          <w:tab w:pos="5542" w:val="left"/>
          <w:tab w:pos="6864" w:val="right"/>
          <w:tab w:pos="7099" w:val="right"/>
          <w:tab w:pos="7507" w:val="right"/>
          <w:tab w:pos="8098" w:val="right"/>
          <w:tab w:pos="8448" w:val="right"/>
          <w:tab w:pos="10176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Арбитражного</w:t>
        <w:tab/>
        <w:t>суда</w:t>
        <w:tab/>
        <w:t>Ростовской</w:t>
        <w:tab/>
        <w:t>области</w:t>
        <w:tab/>
        <w:t>от</w:t>
        <w:tab/>
        <w:t>17.09.2020</w:t>
        <w:tab/>
        <w:t>г.</w:t>
        <w:tab/>
        <w:t>по</w:t>
        <w:tab/>
        <w:t>делу</w:t>
        <w:tab/>
        <w:t>№</w:t>
        <w:tab/>
        <w:t>А53-13020/2020,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Арбитражного суда Ростовской области от 17.09.2020 г. по делу № А53-13021/2020.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представленным пояснениям Заказчику, под определенную совокупность характеристик подходят товары следующих производителей: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«СпецТех», Россия, (регистрационное удостоверение №РЗН 2019/8372);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«Шанонг Протос Медикал Продактс Ко., Лтд.», Китай (регистрационное удостоверение №ФСЗ 2008/03149).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«Веньчжоу Бейпу Сайенс энд Технолоджи Ко. Лтд.», Китай (регистрационное удостоверение ФСЗ 2009/05610).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свою очередь, Заявителем не представлено никаких доказательств невозможности поставки товаров указанных производителей.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таких обстоятельствах, Комиссия приходит к выводу о необоснованности жалобы Заявителя.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Постановления Правительства РФ от 26.08.2013г. № 728, в соответствии с ч.15 ст.99, ч.8 ст.106 Закона,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8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Заявителя необоснованной.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ч.9 ст.106 Закона решение может быть обжаловано в судебном порядке в течение 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1121410" distL="114300" distR="120650" simplePos="0" relativeHeight="125829380" behindDoc="0" locked="0" layoutInCell="1" allowOverlap="1">
                <wp:simplePos x="0" y="0"/>
                <wp:positionH relativeFrom="page">
                  <wp:posOffset>6080760</wp:posOffset>
                </wp:positionH>
                <wp:positionV relativeFrom="paragraph">
                  <wp:posOffset>12700</wp:posOffset>
                </wp:positionV>
                <wp:extent cx="1109345" cy="21971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934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М.А. Благодарев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78.80000000000001pt;margin-top:1.pt;width:87.350000000000009pt;height:17.300000000000001pt;z-index:-125829373;mso-wrap-distance-left:9.pt;mso-wrap-distance-right:9.5pt;mso-wrap-distance-bottom:88.299999999999997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М.А. Благодарев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121410" distB="0" distL="153670" distR="114935" simplePos="0" relativeHeight="125829382" behindDoc="0" locked="0" layoutInCell="1" allowOverlap="1">
                <wp:simplePos x="0" y="0"/>
                <wp:positionH relativeFrom="page">
                  <wp:posOffset>6120130</wp:posOffset>
                </wp:positionH>
                <wp:positionV relativeFrom="paragraph">
                  <wp:posOffset>1134110</wp:posOffset>
                </wp:positionV>
                <wp:extent cx="1075690" cy="21971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569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С.А. Евстратова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1.90000000000003pt;margin-top:89.299999999999997pt;width:84.700000000000003pt;height:17.300000000000001pt;z-index:-125829371;mso-wrap-distance-left:12.1pt;mso-wrap-distance-top:88.299999999999997pt;mso-wrap-distance-right:9.0500000000000007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С.А. Евстратова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line="36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Моею для подписи: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Благодарён М. 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Моею для подписи: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ЕвСгра юна С. 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В.О. Беркутов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Мест для подписи: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Беркутов В. 0-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Исп.Беркутов В.О.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тел.(863) 240-86-88, вн.061-132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90" w:right="508" w:bottom="1232" w:left="108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9975215</wp:posOffset>
              </wp:positionV>
              <wp:extent cx="5727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2024-637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57.350000000000001pt;margin-top:785.45000000000005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2024-637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2024-637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76.20000000000005pt;width:45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2024-637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character" w:customStyle="1" w:styleId="CharStyle8">
    <w:name w:val="Основной текст (5)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color w:val="1D1D1D"/>
      <w:sz w:val="10"/>
      <w:szCs w:val="10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Заголовок №2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2">
    <w:name w:val="Основной текст (3)_"/>
    <w:basedOn w:val="DefaultParagraphFont"/>
    <w:link w:val="Style21"/>
    <w:rPr>
      <w:rFonts w:ascii="Arial" w:eastAsia="Arial" w:hAnsi="Arial" w:cs="Arial"/>
      <w:b/>
      <w:bCs/>
      <w:i w:val="0"/>
      <w:iCs w:val="0"/>
      <w:smallCaps w:val="0"/>
      <w:strike w:val="0"/>
      <w:color w:val="848484"/>
      <w:sz w:val="19"/>
      <w:szCs w:val="19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3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paragraph" w:customStyle="1" w:styleId="Style7">
    <w:name w:val="Основной текст (5)"/>
    <w:basedOn w:val="Normal"/>
    <w:link w:val="CharStyle8"/>
    <w:pPr>
      <w:widowControl w:val="0"/>
      <w:shd w:val="clear" w:color="auto" w:fill="auto"/>
      <w:ind w:firstLine="140"/>
    </w:pPr>
    <w:rPr>
      <w:rFonts w:ascii="Arial" w:eastAsia="Arial" w:hAnsi="Arial" w:cs="Arial"/>
      <w:b/>
      <w:bCs/>
      <w:i w:val="0"/>
      <w:iCs w:val="0"/>
      <w:smallCaps w:val="0"/>
      <w:strike w:val="0"/>
      <w:color w:val="1D1D1D"/>
      <w:sz w:val="10"/>
      <w:szCs w:val="10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Заголовок №2"/>
    <w:basedOn w:val="Normal"/>
    <w:link w:val="CharStyle16"/>
    <w:pPr>
      <w:widowControl w:val="0"/>
      <w:shd w:val="clear" w:color="auto" w:fill="auto"/>
      <w:spacing w:after="110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2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1">
    <w:name w:val="Основной текст (3)"/>
    <w:basedOn w:val="Normal"/>
    <w:link w:val="CharStyle22"/>
    <w:pPr>
      <w:widowControl w:val="0"/>
      <w:shd w:val="clear" w:color="auto" w:fill="auto"/>
      <w:spacing w:after="700"/>
      <w:ind w:left="3600"/>
    </w:pPr>
    <w:rPr>
      <w:rFonts w:ascii="Arial" w:eastAsia="Arial" w:hAnsi="Arial" w:cs="Arial"/>
      <w:b/>
      <w:bCs/>
      <w:i w:val="0"/>
      <w:iCs w:val="0"/>
      <w:smallCaps w:val="0"/>
      <w:strike w:val="0"/>
      <w:color w:val="848484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