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" w:line="1" w:lineRule="exact"/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  <w:bookmarkEnd w:id="0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  <w:bookmarkEnd w:id="3"/>
    </w:p>
    <w:p>
      <w:pPr>
        <w:pStyle w:val="Style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Вологодской области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160035, г. Вологда, ул. Пушкинская, 25, тел. (8172) 72-99-70, факс (8172) 72-46-64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"mailto:to35@fas.gov.ru"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FF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1о35@^а8§оу ги</w:t>
      </w:r>
      <w:r>
        <w:fldChar w:fldCharType="end"/>
      </w:r>
    </w:p>
    <w:tbl>
      <w:tblPr>
        <w:tblOverlap w:val="never"/>
        <w:jc w:val="center"/>
        <w:tblLayout w:type="fixed"/>
      </w:tblPr>
      <w:tblGrid>
        <w:gridCol w:w="3533"/>
        <w:gridCol w:w="6514"/>
      </w:tblGrid>
      <w:tr>
        <w:trPr>
          <w:trHeight w:val="3605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fldChar w:fldCharType="begin"/>
            </w:r>
            <w:r>
              <w:rPr/>
              <w:instrText> HYPERLINK "http://vologda.fas.gov.ru/" </w:instrText>
            </w:r>
            <w:r>
              <w:fldChar w:fldCharType="separate"/>
            </w:r>
            <w:r>
              <w:rPr>
                <w:color w:val="0000FF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Ь11р2/Уо[одНа_Га^_дох_ги</w:t>
            </w:r>
            <w:r>
              <w:fldChar w:fldCharType="end"/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5738" w:val="left"/>
              </w:tabs>
              <w:bidi w:val="0"/>
              <w:spacing w:before="0" w:after="0" w:line="240" w:lineRule="auto"/>
              <w:ind w:left="10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Г</w:t>
              <w:tab/>
              <w:t>1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132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Заявитель: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1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ООО «ДОРОЖНОЕ СНАБЖЕНИЕ»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Заказчик: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1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МКУ «Служба заказчика по капитальному строительству и жилищно-коммунальному хозяйству»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Оператор электронной площадки: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АО «Сбербанк-АСТ»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Ьйр://^^^.8ЬегЬапк-а81.ги/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А Н И Е № 035/06/8-31/2024 (04-11/7-24)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650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15.01.2024г.</w:t>
        <w:tab/>
        <w:t>г. Вологда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99" w:val="left"/>
          <w:tab w:pos="4014" w:val="left"/>
          <w:tab w:pos="5938" w:val="left"/>
          <w:tab w:pos="8353" w:val="left"/>
          <w:tab w:pos="9716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</w:t>
        <w:tab/>
        <w:t>Управления</w:t>
        <w:tab/>
        <w:t>Федеральной</w:t>
        <w:tab/>
        <w:t>антимонопольной</w:t>
        <w:tab/>
        <w:t>службы</w:t>
        <w:tab/>
        <w:t>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Вологодской области (далее - Комиссия УФАС) в утвержденном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помощник руководителя Управления Федеральной антимонопольной службы по Вологодской области, председатель Комиссии УФАС;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заместитель начальника отдела контроля органов власти и закупок Управления Федеральной антимонопольной службы по Вологодской области, член Комиссии УФАС;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Кузнецова Ю.Н. - старший государственный инспектор отдела контроля органов власти и закупок Управления Федеральной антимонопольной службы по Вологодской области, член Комиссии УФАС,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своего решения от 15.01.2024г. № 035/06/8-31/2024 (04-11/7-24), принятого по итогам рассмотрения жалобы ООО «ДОРОЖНОЕ СНАБЖЕНИЕ» на положение извещения о проведении электронного аукциона «Закупка автогрейдера для нужд Верховажского муниципального округа» (извещение № 0330300000323000043, далее - закупка, аукцион), на действия/бездействие Заказчика (МКУ «Служба заказчика по капитальному строительству и жилищно-коммунальному хозяйству») при проведении аукциона,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п. 2 ч. 22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 р е д п и с ы в а е 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отменить процедуру заключения контракта.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5" w:val="left"/>
        </w:tabs>
        <w:bidi w:val="0"/>
        <w:spacing w:before="0" w:after="20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Комиссии по осуществлению закупки, Оператору электронной площадки отменить протоколы, составленные в ходе проведения аукциона.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вернуть заявки участникам закупки, обеспечить техническую возможность исполнения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аннулировать извещение об аукционе.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2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Комиссии по осуществлению закупки, Оператору электронной площадки исполнить предписание в срок до 31.01.2024г., сообщить в Управление Федеральной антимонопольной службы по Вологодской области об исполнении предписания в срок до 02.02.2024г.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Вологодской области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726" w:val="left"/>
        </w:tabs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 невыполнение должностным лицом заказчика, должностным лицом уполномоченного должностным лицом уполномоченного учреждения, членом комиссии по электронной</w:t>
        <w:tab/>
        <w:t>площадки, специализированной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4325" w:val="left"/>
        </w:tabs>
        <w:bidi w:val="0"/>
        <w:spacing w:before="0" w:after="0" w:line="240" w:lineRule="auto"/>
        <w:ind w:left="264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законного предписания, требования органа, контроля в</w:t>
        <w:tab/>
        <w:t>сфере закупок предусмотрена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наложения административного штрафа 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346" w:right="644" w:bottom="1101" w:left="1210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788035</wp:posOffset>
                </wp:positionH>
                <wp:positionV relativeFrom="margin">
                  <wp:posOffset>2152015</wp:posOffset>
                </wp:positionV>
                <wp:extent cx="1237615" cy="106680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1066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органа,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осуществлению организацией 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уполномоченного административная должностных лиц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2.050000000000004pt;margin-top:169.45000000000002pt;width:97.450000000000003pt;height:84.pt;z-index:-12582937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органа,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осуществлению организацией 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уполномоченного административная должностных лиц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2037715</wp:posOffset>
                </wp:positionH>
                <wp:positionV relativeFrom="margin">
                  <wp:posOffset>2152015</wp:posOffset>
                </wp:positionV>
                <wp:extent cx="5083810" cy="107315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83810" cy="1073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8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лицом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закупок, оператором установленный срок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на осуществление ответственность в виде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в размере пятидесяти тысяч рублей; на юридических лиц - пятисот тысяч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60.45000000000002pt;margin-top:169.45000000000002pt;width:400.30000000000001pt;height:84.5pt;z-index:-12582937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8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лицом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закупок, оператором установленный срок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на осуществление ответственность в виде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в размере пятидесяти тысяч рублей; на юридических лиц - пятисот тысяч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рублей (часть 7 статьи 19.5 КоАП РФ).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2" w:right="0" w:bottom="5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549" w:h="307" w:wrap="none" w:vAnchor="text" w:hAnchor="page" w:x="16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framePr w:w="864" w:h="298" w:wrap="none" w:vAnchor="text" w:hAnchor="page" w:x="600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2"/>
        <w:keepNext w:val="0"/>
        <w:keepLines w:val="0"/>
        <w:framePr w:w="1315" w:h="307" w:wrap="none" w:vAnchor="text" w:hAnchor="page" w:x="843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О.Н. Сучков</w:t>
      </w:r>
    </w:p>
    <w:p>
      <w:pPr>
        <w:pStyle w:val="Style2"/>
        <w:keepNext w:val="0"/>
        <w:keepLines w:val="0"/>
        <w:framePr w:w="1877" w:h="298" w:wrap="none" w:vAnchor="text" w:hAnchor="page" w:x="1650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framePr w:w="864" w:h="298" w:wrap="none" w:vAnchor="text" w:hAnchor="page" w:x="6008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2"/>
        <w:keepNext w:val="0"/>
        <w:keepLines w:val="0"/>
        <w:framePr w:w="1800" w:h="298" w:wrap="none" w:vAnchor="text" w:hAnchor="page" w:x="8428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И.А. Смышляева</w:t>
      </w:r>
    </w:p>
    <w:p>
      <w:pPr>
        <w:pStyle w:val="Style2"/>
        <w:keepNext w:val="0"/>
        <w:keepLines w:val="0"/>
        <w:framePr w:w="864" w:h="298" w:wrap="none" w:vAnchor="text" w:hAnchor="page" w:x="6008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подпись</w:t>
      </w:r>
    </w:p>
    <w:p>
      <w:pPr>
        <w:pStyle w:val="Style2"/>
        <w:keepNext w:val="0"/>
        <w:keepLines w:val="0"/>
        <w:framePr w:w="1733" w:h="307" w:wrap="none" w:vAnchor="text" w:hAnchor="page" w:x="8428" w:y="11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Ю.Н. Кузнецова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02" w:right="674" w:bottom="506" w:left="124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3947160</wp:posOffset>
              </wp:positionH>
              <wp:positionV relativeFrom="page">
                <wp:posOffset>10162540</wp:posOffset>
              </wp:positionV>
              <wp:extent cx="2413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13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10.80000000000001pt;margin-top:800.20000000000005pt;width:1.90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908685</wp:posOffset>
              </wp:positionH>
              <wp:positionV relativeFrom="page">
                <wp:posOffset>10136505</wp:posOffset>
              </wp:positionV>
              <wp:extent cx="6099175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9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549999999999997pt;margin-top:798.14999999999998pt;width:48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10308590</wp:posOffset>
              </wp:positionV>
              <wp:extent cx="4572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75pt;margin-top:811.70000000000005pt;width:3.600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906780</wp:posOffset>
              </wp:positionH>
              <wp:positionV relativeFrom="page">
                <wp:posOffset>10282555</wp:posOffset>
              </wp:positionV>
              <wp:extent cx="60960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96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400000000000006pt;margin-top:809.64999999999998pt;width:48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Подпись к таблиц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Друго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Подпись к таблице"/>
    <w:basedOn w:val="Normal"/>
    <w:link w:val="CharStyle10"/>
    <w:pPr>
      <w:widowControl w:val="0"/>
      <w:shd w:val="clear" w:color="auto" w:fill="auto"/>
      <w:spacing w:after="60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Другое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Начальнику управления по кадровой</dc:title>
  <dc:subject/>
  <dc:creator>Celeron IV</dc:creator>
  <cp:keywords/>
</cp:coreProperties>
</file>