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71245" distR="1059815" simplePos="0" relativeHeight="125829378" behindDoc="0" locked="0" layoutInCell="1" allowOverlap="1">
            <wp:simplePos x="0" y="0"/>
            <wp:positionH relativeFrom="page">
              <wp:posOffset>1781810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824865</wp:posOffset>
                </wp:positionH>
                <wp:positionV relativeFrom="paragraph">
                  <wp:posOffset>622300</wp:posOffset>
                </wp:positionV>
                <wp:extent cx="2414270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4270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1о77@(а8.еоу.ги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  <w:tab w:pos="253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7.01.2024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1341/24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50000000000003pt;margin-top:49.pt;width:190.09999999999999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1о77@(а8.еоу.ги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  <w:tab w:pos="253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7.01.2024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1341/24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Бахмутов Р. 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0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Ьа1&lt;111П111оуп|4ап@Н^1.П1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Геронтологический центр «Северное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Тушино»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94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рV^9-дx@8ос^а1.то8.^и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33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077/06/106-578/2024 о нарушении</w:t>
        <w:br/>
        <w:t>законодательства о контрактной системе</w:t>
        <w:br/>
        <w:t>12.01.2024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конференц-связи) 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Бахмутов Р. М.: Павловой О.С. (по доверенности №1 от 11.01.2024);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Геронтологический центр «Северное Тушино»: Жихор Е.Е. (по доверенности №исх. 1790/23 от 28.12.2023),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6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Бахмутов Р. М. (далее — Заявитель) на действия ГБУ Геронтологический центр «Северное Тушино» (далее — Заказчик) при проведении электронного аукциона на право заключения контракта на поставку дезинфицирующих средств (Закупка №0373200069123000041)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действие комиссии Заказчика, выразившееся в неправомерном признании заявки Заявителя несоответствующей по результатам рассмотрения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посредством Единой информационной системой,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28.12.2023 №ИЭА1 (идентификационный номер заявки 348375) признана не соответствующей требованиям извещения об осуществлении закупки на следующем основании: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Отклонить заявку на участие в закупке по п.2 ч.12 ст.48 №44-ФЗ «Непредставление информации и документов, предусмотренных п. 2,3 ч. 6 ст. 43 Закона 44-ФЗ, несоответствие таких информации и документов требованиям.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392" w:val="left"/>
          <w:tab w:pos="8117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предложении участника характеристики предлагаемого товара не соответствуют показателям, установленным в описании объекта закупки в техническом задании, а именно: Средство дезинфицирующее (количество 5600 л) согласно требованиям Заказчика концентрация основного действующего вещества согласно тех.заданию: &gt;3&lt;=3,5%. Участник в заявке указывает 3,5 %, однако в предлагаемом в заявке дез.средстве - "БонЭкстра М" согласно инструкции по применению в качествеосновного действующего вещества содержит алкилдиметилбензиламмоний хлорид —</w:t>
        <w:tab/>
        <w:t>4,0</w:t>
        <w:tab/>
        <w:t>%, а также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синергетические добавки, а также функциональные и технологические компоненты, в том числе неионогенные ПАВ.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п.1, п.3 ч.2 ст.42 Закона о контрактной системе,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с требованиями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Техническом задании установлены требования к закупаемому товару «Средство дезинфицирующее», в том числе: «Основное действующее вещество: Четвертичноаммониевые соединения; Концентрация основного действующего вещества: &gt; 1 &lt;= 3.5 %; Вид компонента отсутствующего в составе средства дезинфицирующего: Кислоты; Фенолы; Кислород; Гуанидин; Амины; Алкиламины; Щелочь; Хлор; Спирты; Глиоксаль; Альдегиды; Ферменты. Группа дезинфицирующих средств: Четвертичные аммониевые соединения; Поверхностно-активные вещества (ПАВ).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 w:line="23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3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3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3" w:val="left"/>
        </w:tabs>
        <w:bidi w:val="0"/>
        <w:spacing w:before="0" w:after="0" w:line="23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3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ИП Бахмутов Р. М. представлены характеристики поставляемого товара «Средство дезинфицирующее», товарный знак «БонЭкстра М», страна происхождения: Российская Федерация, в том числе: Основное действующее вещество: Четвертичноаммониевые соединения; Концентрация основного действующего вещества: 3.5 %; Вид компонента отсутствующего в составе средства дезинфицирующего: Кислоты; Ферменты; Альдегиды; Гуанидин; Амины; Спирты; Кислород; Щелочь; Фенолы; Хлор; Глиоксаль; Алкиламины. Группа дезинфицирующих средств: Четвертичные аммониевые соединения; Поверхностно-активные вещества (ПАВ).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основное действующее вещество Четвертично-аммониевые соединения. Концентрация основного действующего вещества: 3,5 % (согласно таблице 20 инструкции по применению средства от 28.07.2023 г). Массовая доля АДБАХ, 4,0 ± 0,5%. Алкилдиметилбензиламмоний хлорид (АДБАХ). Таким образом, массовая доля четвертичных аммониевых соединений (ЧАС) в средстве от 3,5% до 4,5% в зависимости от партии товара.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что, согласно п. 1.1 инструкции от 28.07.2023 г. по применению средства «БонЭкстра М» в качестве действующего вещества содержащей алкилдиметилбензиламмоний хлорид (АДБАХ) — 4,0%, массовая доля АДБАХ составляет 4,0% ± 0,5. Техническому заданию соответствует только минимальный порог массовой доли действующего вещества, максимальный порог составляет 4,5%, что значительно превышает параметры Технического задания. В Техническом задании концентрация основного действующего вещества составляет &gt; 1 &lt;= 3,5 %.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соответствии с Техническим заданием основным действующим веществом являются четвертично-аммониевые соединения без каких либо добавок. Согласно п. 1.1 инструкции от 28.07.2023 г. по применению средства «БонЭкстра М» представляет собой концентрат в виде прозрачной однородной жидкости от голубого до фиолетового цвета, из чего следует, что средство содержит красители, а также функциональные добавки, в том числе в капсулированной форме и воду очищенную рН средства (10,0 ± 1,5) ед.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Управления отмечает, что на заседании Комиссии Управления представителем Заявителя представлено письмо производителя средства ООО «ИНТЕРСЭН-плюс» (№б/н от 21.12.2023г) для подтверждения возможности поставки средства с концентрацией основного действующего вещества 3,5 %.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ответе на вышеуказанное письмо производителя, содержится, в том числе следующая информация: «Согласно инструкции по применению средства «БонЭкстра М» № Д-26/23 от 28 июля 2023 года, таблице 20 (страница 26) массовая доля алкилдиметилбензиламмоний хлорид (АДБАХ) составляет 4,0 ± 0,5%.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паспорту безопасности средство содержит доля алкилдиметилбензиламмоний хлорида: 3,5%-4,5%.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Гарантируем производство средства с любой массовой долей доля алкилдиметилбензиламмоний хлорида с массовой долей 3,5%, если это необходимо потребителю».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 Комиссия Управления отмечает, что согласно инструкции по применению средства дезинфицирующего «БонЭкстра М» в качестве основного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действующего вещества содержится алкилдиметилбензиламмоний хлорид, что соответствует требованиям Технического задания.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 обратного представителем Заказчика на заседании Комиссии Управления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Заказчика пояснил, что согласно п. 1.3. инструкции по применению средства средство дезинфицирующее по параметрам острой токсичности при введении в желудок относится к 3 классу умеренно опасных веществ по ГОСТ 12.1.007-76, при нанесении на кожу к 4 классу малоопасных веществ по ГОСТ 12.1.007-76. Согласно техническому заданию требуемый класс опасности по всем параметрам - 4.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пояснения Заказчика в части причин, послуживших основаниям для отклонения заявки Заявителя, не легли в основу протокола подведения итогов определения поставщика (подрядчика, исполнителя), при этом в составе протокола не отражено, какие функциональные и технологические компоненты не соответствующие потребности Заказчика, содержит, предложенное дезинфицирующее средство в составе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в целях обеспечения гласности и прозрачности осуществления закупок, предотвращения коррупции и других злоупотреблений в указанной сфере, представляется возможным сделать вывод о том, что обязательному доведению до сведения участников закупки подлежит вся информация, касающаяся хода и результатов рассмотрения их заявок на участие в названной закупке, поскольку упомянутые результаты напрямую затрагивают права и законные интересы таких участников. Кроме того, такая информация должна детально раскрывать причины отклонения поданной заявки с указанием на то, какие именно положениям закупочной документации не соответствует такая заявка и в какой именно ее части, с тем, чтобы исключить возможность заказчиков в последующем субъективно трактовать причины такого отклонения и предоставить участникам закупки возможность в случае несогласия с таким решением заказчика оспорить в установленном законом порядке.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Названный правовой подход наиболее полно отвечает законодательно закрепленному принципу равенства участников гражданских правоотношений (ч. 1 ст. 1 Гражданского кодекса Российской Федерации (далее — ГК РФ), и данного подхода последовательно придерживаются арбитражные суды Московского округа, в частности по делам №№ А40-137048/12, А40-5013/14, А40-43124/14, А40- 219113/14.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 отклонение заявки участника без обоснования конкретных причин такого отклонения изначально нельзя признать правомерным ввиду несоответствия таких действий целям обеспечения гласности и прозрачности осуществления закупок (ч. 1 ст. 1 Закона о контрактной системе), а также законодательно установленному запрету на злоупотребление правом (ч. 2 ст. 10 ГК РФ) и принципу недопустимости извлечения преимущества из своего незаконного или недобросовестного поведения (ч. 4 ст. 1 ГК РФ).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основание отклонения заявки Заявителя, представленное в составе возражения Заказчика на заседании Комиссии Управления, не отражено в протоколе подведения итогов определения поставщика (подрядчика, исполнителя) от 10.11.2023 №ИЭА1.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пп. «а» п.1 ч.5 ст. 49 Закона о контрактной системе не позднее двух рабочих дней со дня, следующего за датой окончания срока подачи заявок 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1-8 ч. 12 ст. 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28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28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28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28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8" w:val="left"/>
        </w:tabs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1" w:val="left"/>
        </w:tabs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81" w:val="left"/>
        </w:tabs>
        <w:bidi w:val="0"/>
        <w:spacing w:before="0" w:after="0" w:line="228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28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  <w:r>
        <w:br w:type="page"/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2" w:val="left"/>
        </w:tabs>
        <w:bidi w:val="0"/>
        <w:spacing w:before="0" w:after="0" w:line="23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3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решение комиссии Заказчика о признании заявки ИП Бахмутов Р. М. несоответствующей по основанию, отраженному в протоколе подведения итогов определения поставщика (подрядчика, исполнителя), является неправомерным и принято в нарушение пп. «а» п.1 ч.5 ст. 49 Закона о контрактной системе, что содержит признаки состава административного правонарушения, ответственность за которое предусмотрена ч. 2 ст. 7.30 Кодекса Российской Федерации об административных правонарушениях. 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9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Бахмутов Р. М. на действия комиссии ГБУ Геронтологический центр «Северное Тушино»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9" w:val="left"/>
        </w:tabs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комиссии Заказчика нарушение пп. «а» п.1 ч.5 ст. 49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9" w:val="left"/>
        </w:tabs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законодательства об осуществлении закупок Заказчику не выдавать, поскольку предписание выдано ранее в рамках рассмотрения жалобы ИП Николаева Е.В. по делу от 11.01.2024 № 077/06/106-238/2024.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9" w:val="left"/>
        </w:tabs>
        <w:bidi w:val="0"/>
        <w:spacing w:before="0" w:after="28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908" w:right="535" w:bottom="822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201295" distL="0" distR="0" simplePos="0" relativeHeight="125829381" behindDoc="0" locked="0" layoutInCell="1" allowOverlap="1">
                <wp:simplePos x="0" y="0"/>
                <wp:positionH relativeFrom="page">
                  <wp:posOffset>730250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5pt;margin-top:10.pt;width:145.70000000000002pt;height:19.900000000000002pt;z-index:-125829372;mso-wrap-distance-left:0;mso-wrap-distance-top:10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1615" distB="0" distL="0" distR="1804670" simplePos="0" relativeHeight="125829383" behindDoc="0" locked="0" layoutInCell="1" allowOverlap="1">
            <wp:simplePos x="0" y="0"/>
            <wp:positionH relativeFrom="page">
              <wp:posOffset>2909570</wp:posOffset>
            </wp:positionH>
            <wp:positionV relativeFrom="paragraph">
              <wp:posOffset>221615</wp:posOffset>
            </wp:positionV>
            <wp:extent cx="311150" cy="35941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3302635</wp:posOffset>
                </wp:positionH>
                <wp:positionV relativeFrom="paragraph">
                  <wp:posOffset>291465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0.05000000000001pt;margin-top:22.94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1295" distL="0" distR="0" simplePos="0" relativeHeight="125829384" behindDoc="0" locked="0" layoutInCell="1" allowOverlap="1">
                <wp:simplePos x="0" y="0"/>
                <wp:positionH relativeFrom="page">
                  <wp:posOffset>5869305</wp:posOffset>
                </wp:positionH>
                <wp:positionV relativeFrom="paragraph">
                  <wp:posOffset>127000</wp:posOffset>
                </wp:positionV>
                <wp:extent cx="1313815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381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2.15000000000003pt;margin-top:10.pt;width:103.45pt;height:19.900000000000002pt;z-index:-125829369;mso-wrap-distance-left:0;mso-wrap-distance-top:10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6366183222Р5ОСЕ2САЗР6О732820С91С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7.04.2024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3" w:right="527" w:bottom="85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2400" distB="203835" distL="0" distR="0" simplePos="0" relativeHeight="125829386" behindDoc="0" locked="0" layoutInCell="1" allowOverlap="1">
                <wp:simplePos x="0" y="0"/>
                <wp:positionH relativeFrom="page">
                  <wp:posOffset>730250</wp:posOffset>
                </wp:positionH>
                <wp:positionV relativeFrom="paragraph">
                  <wp:posOffset>152400</wp:posOffset>
                </wp:positionV>
                <wp:extent cx="134112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5pt;margin-top:12.pt;width:105.60000000000001pt;height:19.699999999999999pt;z-index:-125829367;mso-wrap-distance-left:0;mso-wrap-distance-top:12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43840" distB="0" distL="0" distR="1804670" simplePos="0" relativeHeight="125829388" behindDoc="0" locked="0" layoutInCell="1" allowOverlap="1">
            <wp:simplePos x="0" y="0"/>
            <wp:positionH relativeFrom="page">
              <wp:posOffset>2909570</wp:posOffset>
            </wp:positionH>
            <wp:positionV relativeFrom="paragraph">
              <wp:posOffset>243840</wp:posOffset>
            </wp:positionV>
            <wp:extent cx="311150" cy="36576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3302635</wp:posOffset>
                </wp:positionH>
                <wp:positionV relativeFrom="paragraph">
                  <wp:posOffset>313690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60.05000000000001pt;margin-top:24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203835" distL="0" distR="0" simplePos="0" relativeHeight="125829389" behindDoc="0" locked="0" layoutInCell="1" allowOverlap="1">
                <wp:simplePos x="0" y="0"/>
                <wp:positionH relativeFrom="page">
                  <wp:posOffset>5859780</wp:posOffset>
                </wp:positionH>
                <wp:positionV relativeFrom="paragraph">
                  <wp:posOffset>152400</wp:posOffset>
                </wp:positionV>
                <wp:extent cx="131064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06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61.40000000000003pt;margin-top:12.pt;width:103.2pt;height:19.699999999999999pt;z-index:-125829364;mso-wrap-distance-left:0;mso-wrap-distance-top:12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0092302А1Е2Р82694604ЕЕР7722Э2557ЕР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05.12.2023 по 27.02.2025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center"/>
      </w:pPr>
      <w:r>
        <w:drawing>
          <wp:anchor distT="0" distB="0" distL="114300" distR="1918970" simplePos="0" relativeHeight="125829391" behindDoc="0" locked="0" layoutInCell="1" allowOverlap="1">
            <wp:simplePos x="0" y="0"/>
            <wp:positionH relativeFrom="page">
              <wp:posOffset>2909570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3302635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0.05000000000001pt;margin-top:11.5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008926921ЕВ71Р0631А2ЕР19РВВ8Е80В4Е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13" w:right="527" w:bottom="85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10345420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2024-1627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5pt;margin-top:814.60000000000002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2024-1627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00000000000004pt;margin-top:804.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244475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05000000000001pt;margin-top:19.2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Основной текст (4)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29">
    <w:name w:val="Основной текст (5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4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