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826135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7.01.2024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1285/24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049999999999997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7.01.2024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1285/24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«Матрикс»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Ма1пх.тЪох@Ък.ги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xIеипоVа@гопс.^и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«КардиоКит»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80" w:line="21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каг4юкй@уапдех.ги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077/06/106-609/2024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12700</wp:posOffset>
                </wp:positionV>
                <wp:extent cx="814070" cy="25908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407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12.01.2024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100000000000001pt;margin-top:1.pt;width:64.099999999999994pt;height:20.400000000000002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12.01.2024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«Матрикс»: Мацькова В.В. (по доверенности №б/н от 09.01.2024);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 Минздрава России: Железняка Ю.В. (по доверенности № 6/Д от 09.01.2024), Титова А.С. (по доверенности № 14/Д от 11.01.2024),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«КардиоКит»,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«Матрикс» (далее — Заявитель) на действия ФГБУ «НМИЦ онкологии им. Н.Н. Блохина» Минздрава России (далее — Заказчик) при проведении электронного аукциона на право заключения контракта на поставку изделий медицинских вспомогательного назначения, одноразового применения (Закупка № 0373100094323001364) (далее - аукцион) в соответствии с Федеральным законом от 05.04.2013 №44-ФЗ «О контрактной системе в сфере закупок товаров,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действие комиссии Заказчика, выразившееся в неправомерном признании заявки победителя закупочной процедуры соответствующей требованиям Извещения по результатам рассмотрения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посредством Единой информационной системой,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26.12.2023 №ИЭА1 заявка участника ООО «КардиоКит» (идентификационный номер заявки 115605229) признана соответствующей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ООО «КардиоКит» является победителем данной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требования к закупаемым медицинским изделиям, например, по пп. 35, 36 «Катетер баллонный для коронарной ангиопластики, стандартный»: Расчетное номинальное давление (№Р) баллонного катетера: 6 или 8 атм. давление; Расчетное давление разрыва (КВР): 12 или 14 атм. давление.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3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Заказчиком в файле «Требования к содержанию, составу заявки» установлено, в том числе, следующее требование к участникам закупки: «Документами, подтверждающими соответствие товара требованиям, установленным в соответствии с законодательством Российской Федерации, предусмотренными подпунктом в) пункта 2 настоящих Требований являются: копии действующих регистрационных удостоверений, выданных уполномоченными на это государственными органами (либо информации о нем)».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победителя аукциона ООО «КардиоКит» представлены характеристики поставляемых медицинских изделий, в том числе по п. 35 «Катетер баллонный дилатационный АссиГогсе для ЧТКА 9. ^С-КМ 2215НН^, диаметр баллона 2,25 мм, длина баллона 15 мм.»: Расчетное номинальное давление (№Р) баллонного катетера: 12 атм. давление; Расчетное давление разрыва (КВР): 19 атм. давление; по п. 36 «Катетер баллонный дилатационный АссиГогсе для ЧТКА 8. ^С-КМ 22121111^', диаметр баллона 2,25 мм, длина баллона 12 мм.»: Расчетное номинальное давление (ЫР) баллонного катетера: 12 атм. давление; Расчетное давление разрыва (КВР): 13 атм. Давление.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составе заявки победителя представлено регистрационное удостоверение № РЗН 2017/5271 от 18.01.2017 г. на медицинское изделие «Катетер баллонный дилатационный АссиГогсе для ЧТКА в вариантах исполнения», производителя «Терумо Корпорейшн», Япония.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однако, на заседании Комиссии Управления представитель Заявителя не участвовал, а так же в составе жалобы Заявителем не представлены документы и сведения свидетельствующие об обратном.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 в соответствии с информацией производителя в официальной инструкции на страницах 9 и 10, размещенной на официальном сайте Росздравнадзора, у катетера АссиГогсе номинальное давление составляет 12 атм., расчетное давление разрыва составляет 22 и 20 атм в зависимости от диаметра баллона. Информация 13 атм. и 19 атм. в инструкции отсутствуют.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отклонение от заявленных характеристик в Техническом задании Заказчик счел несущественным и допустил, соответствующие требованиям Извещения, заявки участников для дальнейшего участия в аукционе и, следовательно, правомерно признал победителем закупочной процедуры ООО «КардиоКит».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соответствии с ч.4 ст.38 Закона об основах охраны здоровья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Постановлением Правительства Российской Федерации от 27.12.2012 № 1416 «Об утверждении Правил государственной регистрации медицинских изделий» утверждены правила государственной регистрации медицинских изделий (далее — Правила).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6 Правил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пп. «а» п. 54 Правил регистрирующий орган формирует трегистрационное досье, которое включает в себя документы, предусмотренные п. 10 Правил.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 10 Правил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руководство по эксплуатации медицинского изделия и инструкция по применению входят в состав регистрационного досье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представляется в числе обязательных документов при регистрации медицинского 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58 Правил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считает, что информация, размещенная на сайте Росздравнадзора, в том числе, руководство по эксплуатации, инструкция по использованию медицинского изделия, является актуальной и обладает юридической силой, следовательно, при рассмотрении заявок участников закупки комиссия по осуществлению закупок должна руководствоваться, в том числе, сведениями, размещенными на сайте Росздравнадзора, которые являются открытыми и доступны без каких-либо ограничений.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выводу, что представленная в составе заявки ООО «КардиоКит» информация о предлагаемых к поставке медицинских изделиях не соответствует сведениям, размещенным на сайте Росздравнадзора, из чего следует, что в заявке победителя аукциона ООО «КардиоКит» представлена недостоверная информация относительно технических характеристик предлагаемых к поставке медицинских изделий в частности по пп. 35, 36 Технического задания.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на заседании Комиссии Управления представителем Заказчика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1" w:val="left"/>
        </w:tabs>
        <w:bidi w:val="0"/>
        <w:spacing w:before="0" w:after="0" w:line="228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1" w:val="left"/>
        </w:tabs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 заявке ООО «КардиоКит» представлена недостоверная информация относительно технических характеристик поставляемых медицинских изделий и решение комиссии Заказчика о признании заявки победителя данной закупочной процедуры электронного аукциона соответствующей требованиям Извещения принято в нарушение пп. «а» п.1 ч.5 ст. 49 Закона о контрактной системе, что содержит признаки состава 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«Матрикс» на действия комиссии ФГБУ «НМИЦ онкологии им. Н.Н. Блохина» Минздрава Росси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6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аукционной комиссии Заказчика нарушение пп. «а» п.1 ч.5 ст. 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6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Обязательное для исполнения предписание об устранении нарушений законодательства об осуществлении закупок Заказчику не выдавать, поскольку по результатам проведения закупки заключен государственный контракт от 09.01.2024 № 0373100094323001364 и восстановление законных прав и интересов Заявителя возможно исключительно в судебном порядке.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0" w:val="left"/>
        </w:tabs>
        <w:bidi w:val="0"/>
        <w:spacing w:before="0" w:after="28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53" w:right="534" w:bottom="1359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83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600000000000001pt;margin-top:10.pt;width:145.70000000000002pt;height:19.699999999999999pt;z-index:-125829370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5" behindDoc="0" locked="0" layoutInCell="1" allowOverlap="1">
            <wp:simplePos x="0" y="0"/>
            <wp:positionH relativeFrom="page">
              <wp:posOffset>3014345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3510915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BEBEB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6.44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BEBEB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3465195</wp:posOffset>
                </wp:positionH>
                <wp:positionV relativeFrom="paragraph">
                  <wp:posOffset>288925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2.85000000000002pt;margin-top:22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6" behindDoc="0" locked="0" layoutInCell="1" allowOverlap="1">
                <wp:simplePos x="0" y="0"/>
                <wp:positionH relativeFrom="page">
                  <wp:posOffset>5861050</wp:posOffset>
                </wp:positionH>
                <wp:positionV relativeFrom="paragraph">
                  <wp:posOffset>127000</wp:posOffset>
                </wp:positionV>
                <wp:extent cx="131381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1.5pt;margin-top:10.pt;width:103.45pt;height:19.699999999999999pt;z-index:-125829367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63661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83222Е5ОСЕ2САЗЕ6О732820С91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276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870" distL="0" distR="0" simplePos="0" relativeHeight="125829388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152400</wp:posOffset>
                </wp:positionV>
                <wp:extent cx="134112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600000000000001pt;margin-top:12.pt;width:105.60000000000001pt;height:19.900000000000002pt;z-index:-125829365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0" distL="0" distR="1789430" simplePos="0" relativeHeight="125829390" behindDoc="0" locked="0" layoutInCell="1" allowOverlap="1">
            <wp:simplePos x="0" y="0"/>
            <wp:positionH relativeFrom="page">
              <wp:posOffset>3014345</wp:posOffset>
            </wp:positionH>
            <wp:positionV relativeFrom="paragraph">
              <wp:posOffset>189230</wp:posOffset>
            </wp:positionV>
            <wp:extent cx="389890" cy="57277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3510915</wp:posOffset>
                </wp:positionH>
                <wp:positionV relativeFrom="paragraph">
                  <wp:posOffset>628015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BEBEB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6.44999999999999pt;margin-top:49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BEBEB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3465195</wp:posOffset>
                </wp:positionH>
                <wp:positionV relativeFrom="paragraph">
                  <wp:posOffset>317500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2.85000000000002pt;margin-top:25.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870" distL="0" distR="0" simplePos="0" relativeHeight="125829391" behindDoc="0" locked="0" layoutInCell="1" allowOverlap="1">
                <wp:simplePos x="0" y="0"/>
                <wp:positionH relativeFrom="page">
                  <wp:posOffset>5901055</wp:posOffset>
                </wp:positionH>
                <wp:positionV relativeFrom="paragraph">
                  <wp:posOffset>152400</wp:posOffset>
                </wp:positionV>
                <wp:extent cx="131064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4.65000000000003pt;margin-top:12.pt;width:103.2pt;height:19.900000000000002pt;z-index:-125829362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Е2Е826946Э4ЕЕЕ7722О2557ЕЕ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260" w:right="0" w:firstLine="0"/>
        <w:jc w:val="left"/>
      </w:pPr>
      <w:r>
        <w:drawing>
          <wp:anchor distT="0" distB="0" distL="114300" distR="1921510" simplePos="0" relativeHeight="125829393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3465195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2.85000000000002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008926921ЕВ71Е0631А2Е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1=19РВВ8Е80В4Е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10089515</wp:posOffset>
              </wp:positionV>
              <wp:extent cx="6464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2024-1629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794.45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2024-1629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10235565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5.95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473075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37.2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Основной текст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565656"/>
      <w:sz w:val="12"/>
      <w:szCs w:val="12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Основной текст (2)"/>
    <w:basedOn w:val="Normal"/>
    <w:link w:val="CharStyle20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65656"/>
      <w:sz w:val="12"/>
      <w:szCs w:val="12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100"/>
      <w:ind w:left="44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