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2649855" simplePos="0" relativeHeight="125829378" behindDoc="0" locked="0" layoutInCell="1" allowOverlap="1">
            <wp:simplePos x="0" y="0"/>
            <wp:positionH relativeFrom="page">
              <wp:posOffset>3569970</wp:posOffset>
            </wp:positionH>
            <wp:positionV relativeFrom="paragraph">
              <wp:posOffset>12700</wp:posOffset>
            </wp:positionV>
            <wp:extent cx="603250" cy="1969135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03250" cy="19691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32715" distB="0" distL="1200150" distR="114300" simplePos="0" relativeHeight="125829379" behindDoc="0" locked="0" layoutInCell="1" allowOverlap="1">
                <wp:simplePos x="0" y="0"/>
                <wp:positionH relativeFrom="page">
                  <wp:posOffset>4655820</wp:posOffset>
                </wp:positionH>
                <wp:positionV relativeFrom="paragraph">
                  <wp:posOffset>145415</wp:posOffset>
                </wp:positionV>
                <wp:extent cx="2052955" cy="183769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295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МОНОПОЛИЯМ КАРШЫ</w:t>
                              <w:br/>
                              <w:t>ФЕДЕРАЛЬ ХЕЗМЭТ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Монополиям карты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хезмэтнец</w:t>
                              <w:br/>
                              <w:t>Татарстан Республикасы</w:t>
                              <w:br/>
                              <w:t>буенча идарэсе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Мэскэу ур., 55 йорк Казан шэЬэре. 420021</w:t>
                              <w:br/>
                              <w:t>тел.: (843) 236-89-22. факс (843) 238-19-46</w:t>
                              <w:br/>
                              <w:t>е-таИ: Ю16ф (аь.1’оу;гн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6.60000000000002pt;margin-top:11.450000000000001pt;width:161.65000000000001pt;height:144.70000000000002pt;z-index:-125829374;mso-wrap-distance-left:94.5pt;mso-wrap-distance-top:10.45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МОНОПОЛИЯМ КАРШЫ</w:t>
                        <w:br/>
                        <w:t>ФЕДЕРАЛЬ ХЕЗМЭТ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Монополиям карты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хезмэтнец</w:t>
                        <w:br/>
                        <w:t>Татарстан Республикасы</w:t>
                        <w:br/>
                        <w:t>буенча идарэсе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Мэскэу ур., 55 йорк Казан шэЬэре. 420021</w:t>
                        <w:br/>
                        <w:t>тел.: (843) 236-89-22. факс (843) 238-19-46</w:t>
                        <w:br/>
                        <w:t>е-таИ: Ю16ф (аь.1’оу;гн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1085215</wp:posOffset>
                </wp:positionH>
                <wp:positionV relativeFrom="paragraph">
                  <wp:posOffset>6976745</wp:posOffset>
                </wp:positionV>
                <wp:extent cx="2251710" cy="62611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1710" cy="626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Зам.Председателя Комиссии: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Членов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85.450000000000003pt;margin-top:549.35000000000002pt;width:177.30000000000001pt;height:49.300000000000004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Зам.Председателя Комиссии: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Членов Комиссии: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540" w:right="0" w:firstLine="14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Московская., д. 55. г. Казань.. 420021 тел.: (843) 236-89-22, факс (843.) 238-19-46 . е-птаП: Ю16й Га.5.§оу.т</w:t>
      </w:r>
    </w:p>
    <w:p>
      <w:pPr>
        <w:widowControl w:val="0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9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9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ИСПОЛНИТЕЛЬНЫЙ КОМИТЕТ НОВОШЕШМИНСКОГО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9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МУНИЦИПАЛЬНОГО РАЙОНА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9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РЕСПУБЛИКИ ТАТАРСТАН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Н8т.2акирк1@Шаг.ги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9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Заявителю: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59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«Фудсоцсервис»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шпагт@ЬаИе11е.сот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по делу № 016/06/48-42/2024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9020" w:val="left"/>
        </w:tabs>
        <w:bidi w:val="0"/>
        <w:spacing w:before="0" w:after="30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 января 2024 года</w:t>
        <w:tab/>
        <w:t>г. Казань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420" w:right="0" w:firstLine="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Кучеевой А.С. - начальника отдела, Курмаевой Г.Р. - ведущего специалиста-эксперта, Габдулхаевой А.А. - специалиста 1 разряда,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68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066" w:right="547" w:bottom="1101" w:left="999" w:header="638" w:footer="67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 уполномоченного органа — Исхаковой Л.К. (по доверенности №5 от 15.08.2023г.), в присутствии представителя заявителя ООО «Фудсоцсервис» — Рословой Н.М. (доверенность №2/23 от 17.04.2023г.), рассмотрев в режиме видеоконференции жалобу заявителя ООО «Фудсоцсервис» (вх. №37/ж от 09.01.2024г. (ЕИС от 29.12.2023г.), на действия уполномоченного органа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позицией 33 приложения к Постановлению № 2571 (далее - Приложение) при осуществлении услуги общественного питания и (или) поставка пищевых продуктов, закупаемых для организаций, осуществляющих образовательную деятельность, медицинских организаций, организаций социального обслуживания, организаций отдыха детей и их оздоровления к участникам закупки предъявляются дополнительные требования о наличии следующего опыта выполнения работ: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опыта исполнения участником закупки договора, предусматривающего оказание услуг общественного питания и (или) поставки пищевых продуктов.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оказанных услуг и (или) поставленных товаров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документам, подтверждающим соответствие участников закупки дополнительным требованиям позиции 33 Приложения, относятся: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исполненный договор;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акт приемки оказанных услуг и (или) поставленных товаров, подтверждающий цену оказанных услуг и (или) поставленных товаров.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пункта 3 части 12 статьи 48 Закона о контрактной системе,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рамках объекта проводимой закупки в требованиях к содержанию составу закупки на участие в закупке Заказчиком были установлены дополнительные требования к участникам в соответствии с позицией 33 Приложения к Постановлению № 2571.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рассматриваемом случае Комиссия Татарстанского УФАС России приходит к выводу, что документом, подтверждающим опыт выполнения работ, связанным с предметом контракта, может являться исключительно такой контракт (договор) на выполнение соответствующих работ, где основной стороной выступает непосредственно участник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установила, что было подано две заявки, победителем является Махмутов Х.Х. с ценовым предложением 14 132 124,09 рублей.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анализа представленных заявок участников Комиссией установлено наличие следующих документов в составе заявки участника Махмутова Х.Х., предоставленных в качестве подтверждения соответствия установленному дополнительному требованию: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066" w:right="547" w:bottom="1101" w:left="999" w:header="0" w:footer="673" w:gutter="0"/>
          <w:pgNumType w:start="3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реестровая запись контракта 3163200506922000010 Услуги по организации горячего питания/продукты питания 2023г. на сумму 1 693 339,10 рублей;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3 статьи 7 Закона о контрактной системе,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3 статьи 31 Закона о контрактной системе, заказчик устанавливает требование к участникам закупки о предоставлении перечня информации и документов, которые подтверждают соответствие участников закупок дополнительным требованиям, указанным в частях 2 и 2.1 настоящей статьи, устанавливается Правительством Российской Федерации.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пункту 12 части 1 статьи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что в извещении не установлены требования Постановления №2571, также Комиссия отмечает, что в приложенном документе «требования к содержанию составу закупки на участие в закупке» заказчиком установлены требования Постановления №2571.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приходит к выводу, что уполномоченный орган и заказчики установили различные требования в извещении и «требования к содержанию составу закупки на участие в закупке», тем самым вводя участников закупки в заблуждение.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уполномоченным органом и заказчиками нарушены требования части 3 статьи 7, пункта 12 части 1 статьи 42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руководствуясь пунктом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 w:line="257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 w:line="252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заявителя ООО «Фудсоцсервис» (вх. №37/ж от 09.01.2024г. (ЕИС от 29.12.2023г.), на действия уполномоченного органа</w:t>
      </w:r>
    </w:p>
    <w:sectPr>
      <w:headerReference w:type="default" r:id="rId8"/>
      <w:footnotePr>
        <w:pos w:val="pageBottom"/>
        <w:numFmt w:val="decimal"/>
        <w:numRestart w:val="continuous"/>
      </w:footnotePr>
      <w:pgSz w:w="11900" w:h="16840"/>
      <w:pgMar w:top="1066" w:right="547" w:bottom="1101" w:left="999" w:header="0" w:footer="673" w:gutter="0"/>
      <w:pgNumType w:start="5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4110355</wp:posOffset>
              </wp:positionH>
              <wp:positionV relativeFrom="page">
                <wp:posOffset>503555</wp:posOffset>
              </wp:positionV>
              <wp:extent cx="57150" cy="10985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15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23.65000000000003pt;margin-top:39.649999999999999pt;width:4.5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4116070</wp:posOffset>
              </wp:positionH>
              <wp:positionV relativeFrom="page">
                <wp:posOffset>443230</wp:posOffset>
              </wp:positionV>
              <wp:extent cx="57150" cy="11176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150" cy="1117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24.10000000000002pt;margin-top:34.899999999999999pt;width:4.5pt;height:8.8000000000000007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D80A4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D80A4"/>
      <w:sz w:val="15"/>
      <w:szCs w:val="15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Основной текст (4)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3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D80A4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150" w:line="276" w:lineRule="auto"/>
      <w:ind w:left="270" w:firstLine="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D80A4"/>
      <w:sz w:val="15"/>
      <w:szCs w:val="15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