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4704715</wp:posOffset>
                </wp:positionH>
                <wp:positionV relativeFrom="paragraph">
                  <wp:posOffset>12700</wp:posOffset>
                </wp:positionV>
                <wp:extent cx="2048510" cy="3746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0.44999999999999pt;margin-top:1.pt;width:161.30000000000001pt;height:29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3571240</wp:posOffset>
            </wp:positionH>
            <wp:positionV relativeFrom="paragraph">
              <wp:posOffset>127000</wp:posOffset>
            </wp:positionV>
            <wp:extent cx="652145" cy="7861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2145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4759960</wp:posOffset>
                </wp:positionH>
                <wp:positionV relativeFrom="paragraph">
                  <wp:posOffset>12700</wp:posOffset>
                </wp:positionV>
                <wp:extent cx="1922780" cy="7404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2780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карщьт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хезмэтнен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4.80000000000001pt;margin-top:1.pt;width:151.40000000000001pt;height:58.3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карщьт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хезмэтнен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4796155</wp:posOffset>
                </wp:positionH>
                <wp:positionV relativeFrom="paragraph">
                  <wp:posOffset>12700</wp:posOffset>
                </wp:positionV>
                <wp:extent cx="1913255" cy="4457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3255" cy="445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Млскпу ур.. 55 Йорк казан шэЬэре. 42002Г</w:t>
                              <w:br/>
                              <w:t>тел.: (843) 236-89-22, факс (843) 238-19-46</w:t>
                              <w:br/>
                              <w:t>е-тай: 1о16@(а8.1гоу.п1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7.65000000000003pt;margin-top:1.pt;width:150.65000000000001pt;height:35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Млскпу ур.. 55 Йорк казан шэЬэре. 42002Г</w:t>
                        <w:br/>
                        <w:t>тел.: (843) 236-89-22, факс (843) 238-19-46</w:t>
                        <w:br/>
                        <w:t>е-тай: 1о16@(а8.1гоу.п1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•ул, Московская, д. 55, г. Казань. 420021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гея?: («43).236-89.-22.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28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е-таИ: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го)6(й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'Рак^оу.ги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053" w:val="left"/>
        </w:tabs>
        <w:bidi w:val="0"/>
        <w:spacing w:before="0" w:after="300" w:line="240" w:lineRule="auto"/>
        <w:ind w:left="0" w:right="0" w:firstLine="580"/>
        <w:jc w:val="both"/>
      </w:pPr>
      <w:r>
        <w:rPr>
          <w:b w:val="0"/>
          <w:bCs w:val="0"/>
          <w:i/>
          <w:iCs/>
          <w:color w:val="6157A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</w:t>
      </w:r>
      <w:r>
        <w:rPr>
          <w:b w:val="0"/>
          <w:bCs w:val="0"/>
          <w:i/>
          <w:iCs/>
          <w:color w:val="6157A9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/. К"/-,</w:t>
      </w:r>
      <w:r>
        <w:rPr>
          <w:b w:val="0"/>
          <w:bCs w:val="0"/>
          <w:i/>
          <w:iCs/>
          <w:color w:val="6157A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' </w:t>
      </w:r>
      <w:r>
        <w:rPr>
          <w:b w:val="0"/>
          <w:bCs w:val="0"/>
          <w:i/>
          <w:iCs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b w:val="0"/>
          <w:bCs w:val="0"/>
          <w:i/>
          <w:iCs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ab/>
      </w:r>
      <w:r>
        <w:rPr>
          <w:b w:val="0"/>
          <w:bCs w:val="0"/>
          <w:i/>
          <w:iCs/>
          <w:color w:val="6157A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&lt;2</w:t>
      </w:r>
      <w:r>
        <w:rPr>
          <w:b w:val="0"/>
          <w:bCs w:val="0"/>
          <w:i/>
          <w:iCs/>
          <w:color w:val="6157A9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^/3?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 НОВОШЕШМИНСКОГО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 РЕСПУБЛИКИ ТАТАРСТАН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М8т.2акирк1@1а1аг.ги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«Фудсоцсервис»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604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п1пагт@ЬаЬе11е.сот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016/06/48-36/2024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76" w:val="left"/>
        </w:tabs>
        <w:bidi w:val="0"/>
        <w:spacing w:before="0" w:after="6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 года</w:t>
        <w:tab/>
        <w:t>г. Казань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87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 се дате ля Комиссии:</w:t>
        <w:tab/>
        <w:t>Кучеевой А.С. - начальника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отдела,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8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9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Габдулхаевой А.А. - специалиста 1 разряда,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уполномоченного органа — Исхаковой Л.К. (по доверенности №5 от 15.08.2023г.), в присутствии представителя заявителя ООО «Фудсоцсервис» — Рословой Н.М. (доверенность №2/23 от 17.04.2023г.), рассмотрев в режиме видеоконференции жалобу заявителя ООО «Фудсоцсервис» (вх. №36/ж от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187" w:val="left"/>
          <w:tab w:pos="70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09.01.2024г. (ЕИС от 29.12.2023г.), на действия уполномоченного органа ИСПОЛНИТЕЛЬНОГО</w:t>
        <w:tab/>
        <w:t>КОМИТЕТА</w:t>
        <w:tab/>
        <w:t>НОВОШЕШМИНСКОГО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 РЕСПУБЛИКИ ТАТАРСТАН и заказчиков при проведении закупки №0111300025123000027 на предмет: «Оказание услуг по организации питания в детских образовательных учреждениях Новошешминского муниципального района Республики Татарстан на 2024 год»,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Открытого конкурса в электронной форме №0111300025123000027 размещено на официальном сайте Российской Федерации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ду\у\у.2акирк1.цоу.ги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11.12.2023г.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- 16 156 728,61 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открытый конкурс проведен с нарушениями норм действующего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 с доводами, изложенными в жалобе не согласился, представил устные и письменные пояснения, а также документы по закупке, которые приобщены к материалам дела.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заказчика, позиции заказчика, позиции уполномоченного органа, изучения извещения открытого конкурса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некорректном подсчете баллов комиссией заказчика и неправомерном признании победителя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59" w:right="476" w:bottom="1003" w:left="104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33 приложения к Постановлению № 2571 (далее - Приложение) при осуществлении услуги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к участникам закупки предъявляются дополнительные требования о наличии следующего опыта выполнения работ: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оказание услуг общественного питания и (или) поставки пищевых продуктов.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документам, подтверждающим соответствие участников закупки дополнительным требованиям позиции 33 Приложения, относятся: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приемки оказанных услуг и (или) поставленных товаров, подтверждающий цену оказанных услуг и (или) поставленных товаров.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3 части 12 статьи 48 Закона о контрактной системе,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объекта проводимой закупки в требованиях к содержанию составу закупки на участие в закупке Заказчиком были установлены дополнительные требования к участникам в соответствии с позицией 33 Приложения к Постановлению № 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рассматриваемом случае Комиссия Татарстанского УФАС России приходит к выводу, что документом, подтверждающим опыт выполнения работ, связанным с предметом контракта, может являться исключительно такой контракт (договор) на выполнение соответствующих работ, где основной стороной выступает непосредственно участник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было подано две заявки, победителем является Махмутов Х.Х. с ценовым предложением 14 379 488,46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представленных заявок участников Комиссией установлено наличие следующих документов в составе заявки участника Махмутова Х.Х., предоставленных в качестве подтверждения соответствия установленному дополнительному требованию: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реестровая запись контракта 3163200506922000010 Услуги по организации горячего питания/продукты питания 2023г. на сумму 1 693 339,10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-Реестровая запись контракта 3163200498923000001 Услуги по организации горячего питания/продукты питания 2023г. на сумму 1 910 495,95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-Реестровая запись контракта 3163200487622000010 Услуги по организации горячего питания/продукты питания 2023г. на сумму 1 661 617,55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-Реестровая запись контракта 3163200965922000009 Услуги по организации горячего питания/продукты питания 2023г. на сумму 2 594 621,45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-Реестровая запись контракта 3163200600923000001 Услуги по организации горячего питания/продукты питания 2023г. на сумму 2 166 321,85 рублей;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-Реестровая запись контракта 3163200432222000011 Услуги по организации горячего питания/продукты питания 2023г. на сумму 2 018 243,05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опыт работы у исполнителя должен быть 20% от начальной минимальной цены контракта, в рассматриваемом случае, опыт работ одного контракта должен составлять 3 231 345,72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изучив вышеуказанные договоры Комиссия приходит к выводу, что представленные в составе заявки, а также в аккредитационных сведениях на электронной торговой площадке договора не могут подтвердить наличие опыта работы, предусмотренного позицией 33 Приложения Постановления Правительства РФ от 29.12.2021 И 2571, поскольку Заявитель не обладает опытом выполнения указанных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заявителем был представлен ненадлежащий опыт выполнения работ в соответствии с позицией 33 Приложения, поскольку указанные договоры не являются подтверждением соответствия участника закупки установленным требованиям.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отмечает, что согласно части 6 статьи 106 Закона о контрактной системе, рассмотрение жалобы не осуществляются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в рассматриваемом случае, действия уполномоченного органа и Заказчика противоречат положениям действующего законодательства, ввиду не отклонения заявки участника не соответствующего требованиям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признан 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уполномоченным органом и заказчиками нарушены требования пункта 3 части 12 статьи 48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ходе проведения внеплановой документарной проверки в соответствии с частью 15 статьи 99 Закона о контрактной системе, Комиссией Татарстанского УФАС России выявлены следующие нарушения действующего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31 Закона о контрактной системе, заказчик устанавливает требование к участникам закупки о предоставлении перечня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пункту 12 части 1 статьи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в извещении не установлены требования Постановления №2571, также Комиссия отмечает, что в приложенном документе «требования к содержанию составу закупки на участие в закупке» заказчиком установлены требования Постановления №2571.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уполномоченный орган и заказчики установили различные требования в извещении и «требования к содержанию составу закупки на участие в закупке», тем самым вводя участников закупки в заблуждение.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уполномоченным органом и заказчиками нарушены требования части 3 статьи 7, пункта 12 части 1 статьи 42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3" w:val="left"/>
        </w:tabs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ООО «Фудсоцсервис» (вх. №36/ж от 09.01.2024г. (ЕИС от 29.12.2023г.), на действия уполномоченного органа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180" w:val="left"/>
          <w:tab w:pos="7070" w:val="left"/>
        </w:tabs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ИСПОЛНИТЕЛЬНОГО</w:t>
        <w:tab/>
        <w:t>КОМИТЕТА</w:t>
        <w:tab/>
        <w:t>НОВОШЕШМИНСКОГО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 РЕСПУБЛИКИ ТАТАРСТАН и заказчиков при проведении закупки №0111300025123000027 на предмет: «Оказание услуг по организации питания в детских образовательных учреждениях Новошешминского муниципального района Республики Татарстан на 2024 год»,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3" w:val="left"/>
        </w:tabs>
        <w:bidi w:val="0"/>
        <w:spacing w:before="0" w:after="0" w:line="259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уполномоченного органа ИСПОЛНИТЕЛЬНОГО КОМИТЕТА НОВОШЕШМИНСКОГО МУНИЦИПАЛЬНОГО РАЙОНА РЕСПУБЛИКИ ТАТАРСТАН и заказчиков нарушившими требования пункта 3 части 12 статьи 48, части 3 статьи 7, пункта 12 части 1 статьи 42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4" w:val="left"/>
        </w:tabs>
        <w:bidi w:val="0"/>
        <w:spacing w:before="0" w:after="0" w:line="259" w:lineRule="auto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уполномоченному органу ИСПОЛНИТЕЛЬНОМУ КОМИТЕТУ НОВОШЕШМИНСКОГО МУНИЦИПАЛЬНОГО РАЙОНА РЕСПУБЛИКИ ТАТАРСТАН предписание об устранении нарушений требований действующего законодательства.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0" w:val="left"/>
        </w:tabs>
        <w:bidi w:val="0"/>
        <w:spacing w:before="0" w:after="340" w:line="259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4006850</wp:posOffset>
            </wp:positionH>
            <wp:positionV relativeFrom="paragraph">
              <wp:posOffset>63500</wp:posOffset>
            </wp:positionV>
            <wp:extent cx="3340735" cy="1810385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40735" cy="1810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1089660</wp:posOffset>
                </wp:positionV>
                <wp:extent cx="987425" cy="22415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9.55000000000001pt;margin-top:85.799999999999997pt;width:77.75pt;height:17.6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6078220</wp:posOffset>
                </wp:positionH>
                <wp:positionV relativeFrom="paragraph">
                  <wp:posOffset>1522095</wp:posOffset>
                </wp:positionV>
                <wp:extent cx="1131570" cy="22161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1570" cy="221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А.Габдулхаева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60000000000002pt;margin-top:119.85000000000001pt;width:89.100000000000009pt;height:17.4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А.Габдулхаева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680" w:right="0" w:firstLine="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 Габдулхаева Айгуль Алмазовна 8(843) 238-24-86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type w:val="continuous"/>
      <w:pgSz w:w="11900" w:h="16840"/>
      <w:pgMar w:top="1059" w:right="476" w:bottom="1003" w:left="1048" w:header="0" w:footer="575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835025</wp:posOffset>
              </wp:positionH>
              <wp:positionV relativeFrom="page">
                <wp:posOffset>10349865</wp:posOffset>
              </wp:positionV>
              <wp:extent cx="567055" cy="11684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5.75pt;margin-top:814.95000000000005pt;width:44.649999999999999pt;height:9.200000000000001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4172585</wp:posOffset>
              </wp:positionH>
              <wp:positionV relativeFrom="page">
                <wp:posOffset>490220</wp:posOffset>
              </wp:positionV>
              <wp:extent cx="66040" cy="11874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0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28.55000000000001pt;margin-top:38.600000000000001pt;width:5.2000000000000002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4172585</wp:posOffset>
              </wp:positionH>
              <wp:positionV relativeFrom="page">
                <wp:posOffset>487680</wp:posOffset>
              </wp:positionV>
              <wp:extent cx="54610" cy="10731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28.55000000000001pt;margin-top:38.399999999999999pt;width:4.2999999999999998pt;height:8.449999999999999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C81A6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C81A6"/>
      <w:sz w:val="15"/>
      <w:szCs w:val="15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C81A6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C81A6"/>
      <w:sz w:val="15"/>
      <w:szCs w:val="15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