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2890" distL="114300" distR="2461895" simplePos="0" relativeHeight="125829378" behindDoc="0" locked="0" layoutInCell="1" allowOverlap="1">
            <wp:simplePos x="0" y="0"/>
            <wp:positionH relativeFrom="page">
              <wp:posOffset>3515360</wp:posOffset>
            </wp:positionH>
            <wp:positionV relativeFrom="paragraph">
              <wp:posOffset>12700</wp:posOffset>
            </wp:positionV>
            <wp:extent cx="908050" cy="173101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8050" cy="17310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135890</wp:posOffset>
                </wp:positionV>
                <wp:extent cx="2054860" cy="187198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4860" cy="18719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192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ru-RU" w:eastAsia="ru-RU" w:bidi="ru-RU"/>
                              </w:rPr>
                              <w:t xml:space="preserve">монополияга </w:t>
                            </w: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ru-RU" w:eastAsia="ru-RU" w:bidi="ru-RU"/>
                              </w:rPr>
                              <w:t xml:space="preserve">каршы 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ФЕДЕРАЛЕ ХЕЗМ0Т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хезмэтнен Татарстан Республикасы буенча идарэсе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Мэсклу ур., 55 норз, Казан шэЬэре, 42002.1 зе.Г.: (843)236-89-22, факс (843)238-19-46 е-таЦг Ю ГбГ^Так.^оу.ги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71.30000000000001pt;margin-top:10.700000000000001pt;width:161.80000000000001pt;height:147.4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192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ru-RU" w:eastAsia="ru-RU" w:bidi="ru-RU"/>
                        </w:rPr>
                        <w:t xml:space="preserve">монополияга </w:t>
                      </w:r>
                      <w:r>
                        <w:rPr>
                          <w:smallCaps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ru-RU" w:eastAsia="ru-RU" w:bidi="ru-RU"/>
                        </w:rPr>
                        <w:t xml:space="preserve">каршы 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ФЕДЕРАЛЕ ХЕЗМ0Т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ambria" w:eastAsia="Cambria" w:hAnsi="Cambria" w:cs="Cambri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хезмэтнен Татарстан Республикасы буенча идарэсе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Мэсклу ур., 55 норз, Казан шэЬэре, 42002.1 зе.Г.: (843)236-89-22, факс (843)238-19-46 е-таЦг Ю ГбГ^Так.^оу.ги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2061845</wp:posOffset>
                </wp:positionV>
                <wp:extent cx="2626360" cy="6858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6360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ourier New" w:eastAsia="Courier New" w:hAnsi="Courier New" w:cs="Courier New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ЖЖ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от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4.350000000000001pt;margin-top:162.34999999999999pt;width:206.80000000000001pt;height:54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Courier New" w:eastAsia="Courier New" w:hAnsi="Courier New" w:cs="Courier New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ЖЖ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от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D81A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D81A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55.1'. Казань. 420021</w:t>
        <w:br/>
        <w:t>тел.: (843) 236-89-22, факс (843) 238.19-46</w:t>
        <w:br/>
        <w:t>с-таП: (оЗб&amp;бПь.^ос.ги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5440" w:right="0" w:hanging="4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5440" w:right="0" w:hanging="4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ИСПОЛНИТЕЛЬНЫЙ КОМИТЕТ НОВОШЕШМИНСКОГО МУНИЦИПАЛЬНОГО РАЙОНА РЕСПУБЛИКИ ТАТАРСТАН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544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Н8т.2акирк1@1а1аг.ги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5440" w:right="0" w:hanging="4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016/06/48-36/2024 об устранении нарушений действующего законодательства Российской Федерации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75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 января 2024 года</w:t>
        <w:tab/>
        <w:t>г. Казань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725" w:val="left"/>
        </w:tabs>
        <w:bidi w:val="0"/>
        <w:spacing w:before="0"/>
        <w:ind w:left="0" w:right="0" w:firstLine="9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А.С.-начальника отдела,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725" w:val="left"/>
        </w:tabs>
        <w:bidi w:val="0"/>
        <w:spacing w:before="0" w:after="0"/>
        <w:ind w:left="0" w:right="0" w:firstLine="9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ведущего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58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40" w:line="307" w:lineRule="auto"/>
        <w:ind w:left="58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Габдулхаевой А.А. - специалиста 1 разряда,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15 января 2024 года о выявленных нарушениях норм действующего законодательства о контрактной системе, допущенных уполномоченным органом ИСПОЛНИТЕЛЬНЫМ КОМИТЕТОМ НОВОШЕШМИНСКОГО МУНИЦИПАЛЬНОГО РАЙОНА РЕСПУБЛИКИ ТАТАРСТАН и заказчиками при проведении закупки №0111300025123000027 на предмет: «Оказание услуг по организации питания в детских образовательных учреждениях Новошешминского муниципального района Республики Татарстан на 2024 год»,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ИСПОЛНИТЕЛЬНОМУ КОМИТЕТУ НОВОШЕШМИНСКОГО МУНИЦИПАЛЬНОГО РАЙОНА РЕСПУБЛИКИ ТАТАРСТАН и заказчикам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№0111300025123000027;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пересмотреть заявки, поданные участниками при проведении закупки №0111300025123000027, в соответствии в требованиями действующего законодательства и согласно решению Комиссии Татарстанского УФАС России.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уполномоченному органу и заказчикам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738" w:val="left"/>
        </w:tabs>
        <w:bidi w:val="0"/>
        <w:spacing w:before="0" w:after="1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Зам.Председатель Комиссии:</w:t>
        <w:tab/>
      </w:r>
      <w:r>
        <w:rPr>
          <w:color w:val="2A25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^&lt;^Кучеева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А.С.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67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540"/>
        <w:ind w:left="0" w:right="520" w:firstLine="0"/>
        <w:jc w:val="right"/>
      </w:pPr>
      <w:r>
        <w:rPr>
          <w:i/>
          <w:iCs/>
          <w:color w:val="3E3793"/>
          <w:spacing w:val="0"/>
          <w:w w:val="100"/>
          <w:position w:val="0"/>
          <w:shd w:val="clear" w:color="auto" w:fill="auto"/>
          <w:lang w:val="ru-RU" w:eastAsia="ru-RU" w:bidi="ru-RU"/>
        </w:rPr>
        <w:t>// /</w:t>
      </w:r>
      <w:r>
        <w:rPr>
          <w:i/>
          <w:iCs/>
          <w:color w:val="2A2547"/>
          <w:spacing w:val="0"/>
          <w:w w:val="100"/>
          <w:position w:val="0"/>
          <w:shd w:val="clear" w:color="auto" w:fill="auto"/>
          <w:lang w:val="ru-RU" w:eastAsia="ru-RU" w:bidi="ru-RU"/>
        </w:rPr>
        <w:t>'л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у^Габдулхаева А.А.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Габдулхаева Айгуль Алмазовна, (843)238-24-86</w:t>
      </w:r>
    </w:p>
    <w:sectPr>
      <w:headerReference w:type="default" r:id="rId7"/>
      <w:footerReference w:type="default" r:id="rId8"/>
      <w:headerReference w:type="even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925" w:right="496" w:bottom="1721" w:left="1080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10305415</wp:posOffset>
              </wp:positionV>
              <wp:extent cx="562610" cy="12128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2610" cy="1212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ru-RU" w:eastAsia="ru-RU" w:bidi="ru-RU"/>
                            </w:rPr>
                            <w:t>230417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4.349999999999994pt;margin-top:811.45000000000005pt;width:44.300000000000004pt;height:9.55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ru-RU" w:eastAsia="ru-RU" w:bidi="ru-RU"/>
                      </w:rPr>
                      <w:t>230417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3946525</wp:posOffset>
              </wp:positionH>
              <wp:positionV relativeFrom="page">
                <wp:posOffset>425450</wp:posOffset>
              </wp:positionV>
              <wp:extent cx="54610" cy="984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8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10.75pt;margin-top:33.5pt;width:4.2999999999999998pt;height:7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1A6"/>
      <w:sz w:val="15"/>
      <w:szCs w:val="15"/>
      <w:u w:val="none"/>
    </w:rPr>
  </w:style>
  <w:style w:type="character" w:customStyle="1" w:styleId="CharStyle9">
    <w:name w:val="Основной текст (6)_"/>
    <w:basedOn w:val="DefaultParagraphFont"/>
    <w:link w:val="Style8"/>
    <w:rPr>
      <w:b w:val="0"/>
      <w:bCs w:val="0"/>
      <w:i w:val="0"/>
      <w:iCs w:val="0"/>
      <w:smallCaps w:val="0"/>
      <w:strike w:val="0"/>
      <w:color w:val="3E3793"/>
      <w:sz w:val="56"/>
      <w:szCs w:val="56"/>
      <w:u w:val="singl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1A6"/>
      <w:sz w:val="30"/>
      <w:szCs w:val="30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Основной текст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1A6"/>
      <w:sz w:val="15"/>
      <w:szCs w:val="15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Cambria" w:eastAsia="Cambria" w:hAnsi="Cambria" w:cs="Cambria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Колонтитул (2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0">
    <w:name w:val="Основной текст (3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1A6"/>
      <w:sz w:val="15"/>
      <w:szCs w:val="15"/>
      <w:u w:val="none"/>
    </w:rPr>
  </w:style>
  <w:style w:type="paragraph" w:customStyle="1" w:styleId="Style8">
    <w:name w:val="Основной текст (6)"/>
    <w:basedOn w:val="Normal"/>
    <w:link w:val="CharStyle9"/>
    <w:pPr>
      <w:widowControl w:val="0"/>
      <w:shd w:val="clear" w:color="auto" w:fill="auto"/>
      <w:spacing w:after="60"/>
    </w:pPr>
    <w:rPr>
      <w:b w:val="0"/>
      <w:bCs w:val="0"/>
      <w:i w:val="0"/>
      <w:iCs w:val="0"/>
      <w:smallCaps w:val="0"/>
      <w:strike w:val="0"/>
      <w:color w:val="3E3793"/>
      <w:sz w:val="56"/>
      <w:szCs w:val="56"/>
      <w:u w:val="singl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1A6"/>
      <w:sz w:val="30"/>
      <w:szCs w:val="30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after="240"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Основной текст (2)"/>
    <w:basedOn w:val="Normal"/>
    <w:link w:val="CharStyle17"/>
    <w:pPr>
      <w:widowControl w:val="0"/>
      <w:shd w:val="clear" w:color="auto" w:fill="auto"/>
      <w:spacing w:after="62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1A6"/>
      <w:sz w:val="15"/>
      <w:szCs w:val="15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340"/>
      <w:jc w:val="center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Колонтитул (2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9">
    <w:name w:val="Основной текст (3)"/>
    <w:basedOn w:val="Normal"/>
    <w:link w:val="CharStyle30"/>
    <w:pPr>
      <w:widowControl w:val="0"/>
      <w:shd w:val="clear" w:color="auto" w:fill="auto"/>
      <w:spacing w:after="34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