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567055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2590800" cy="309372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0800" cy="3093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center"/>
                              <w:rPr>
                                <w:sz w:val="134"/>
                                <w:szCs w:val="134"/>
                              </w:rPr>
                            </w:pPr>
                            <w:r>
                              <w:rPr>
                                <w:color w:val="4460A1"/>
                                <w:spacing w:val="0"/>
                                <w:w w:val="100"/>
                                <w:position w:val="0"/>
                                <w:sz w:val="134"/>
                                <w:szCs w:val="134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60A1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60A1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Томской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14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460A1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Адрес места нахождения: г.Томск, пр-кт. Ленина, 111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460A1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Почтовый адрес: 634069, г.Томск, пр-кт. Ленина, 111</w:t>
                              <w:br/>
                              <w:t>тел. (3822) 51-50-61, факс (3822) 51-29-80</w:t>
                              <w:br/>
                              <w:t>е-тай: 1о70@(а8.§оу.п1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9.01.2024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АА/272/24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460A1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pt;margin-top:1.pt;width:204.pt;height:243.59999999999999pt;z-index:-125829375;mso-wrap-distance-left:9.pt;mso-wrap-distance-right:9.pt;mso-wrap-distance-bottom:44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center"/>
                        <w:rPr>
                          <w:sz w:val="134"/>
                          <w:szCs w:val="134"/>
                        </w:rPr>
                      </w:pPr>
                      <w:r>
                        <w:rPr>
                          <w:color w:val="4460A1"/>
                          <w:spacing w:val="0"/>
                          <w:w w:val="100"/>
                          <w:position w:val="0"/>
                          <w:sz w:val="134"/>
                          <w:szCs w:val="134"/>
                          <w:u w:val="single"/>
                          <w:shd w:val="clear" w:color="auto" w:fill="auto"/>
                          <w:lang w:val="ru-RU" w:eastAsia="ru-RU" w:bidi="ru-RU"/>
                        </w:rPr>
                        <w:t>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460A1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460A1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Томской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14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460A1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Адрес места нахождения: г.Томск, пр-кт. Ленина, 111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460A1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Почтовый адрес: 634069, г.Томск, пр-кт. Ленина, 111</w:t>
                        <w:br/>
                        <w:t>тел. (3822) 51-50-61, факс (3822) 51-29-80</w:t>
                        <w:br/>
                        <w:t>е-тай: 1о70@(а8.§оу.п1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9.01.2024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АА/272/24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460A1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267710" distB="0" distL="156845" distR="193675" simplePos="0" relativeHeight="125829380" behindDoc="0" locked="0" layoutInCell="1" allowOverlap="1">
                <wp:simplePos x="0" y="0"/>
                <wp:positionH relativeFrom="page">
                  <wp:posOffset>766445</wp:posOffset>
                </wp:positionH>
                <wp:positionV relativeFrom="paragraph">
                  <wp:posOffset>3280410</wp:posOffset>
                </wp:positionV>
                <wp:extent cx="2468880" cy="39306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68880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 по делу № 070/06/106 11/2024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0.350000000000001pt;margin-top:258.30000000000001pt;width:194.40000000000001pt;height:30.949999999999999pt;z-index:-125829373;mso-wrap-distance-left:12.35pt;mso-wrap-distance-top:257.30000000000001pt;mso-wrap-distance-right:15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 по делу № 070/06/106 11/2024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7092950</wp:posOffset>
                </wp:positionV>
                <wp:extent cx="1877695" cy="86550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7695" cy="865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председателя комиссии: Абдурахманова А.Ф., членов комиссии: Лукьяненка К.К.,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300000000000004pt;margin-top:558.5pt;width:147.84999999999999pt;height:68.150000000000006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председателя комиссии: Абдурахманова А.Ф., членов комиссии: Лукьяненка К.К.,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8065135</wp:posOffset>
                </wp:positionV>
                <wp:extent cx="1216025" cy="25019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Крыловой К.С.,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950000000000003pt;margin-top:635.05000000000007pt;width:95.75pt;height:19.69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Крыловой К.С.,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50800" distR="50800" simplePos="0" relativeHeight="125829386" behindDoc="0" locked="0" layoutInCell="1" allowOverlap="1">
                <wp:simplePos x="0" y="0"/>
                <wp:positionH relativeFrom="page">
                  <wp:posOffset>1242060</wp:posOffset>
                </wp:positionH>
                <wp:positionV relativeFrom="paragraph">
                  <wp:posOffset>8473440</wp:posOffset>
                </wp:positionV>
                <wp:extent cx="887095" cy="25019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70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рассмотрев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97.799999999999997pt;margin-top:667.20000000000005pt;width:69.850000000000009pt;height:19.699999999999999pt;z-index:-125829367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рассмотрев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ПАО «Банк Уралсиб»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Ъапк@игаЫЪ.ги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ОГКУ «Центр государственных закупок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Томской области»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сеп1гд/@сд/.1о1п4&lt;.до\\П1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ОГБПОУ «Томский техникум информационных технологий»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ой1се@1отйиот8к.ги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ЧОП «Дружина»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кеГ@тай2000.ги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РТС-тендер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№070/06/106-11/2024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6557645</wp:posOffset>
                </wp:positionH>
                <wp:positionV relativeFrom="paragraph">
                  <wp:posOffset>12700</wp:posOffset>
                </wp:positionV>
                <wp:extent cx="631190" cy="25019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16.35000000000002pt;margin-top:1.pt;width:49.700000000000003pt;height:19.69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12.01.2024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10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2" w:val="left"/>
        </w:tabs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заместителя руководителя;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органов власти и торгов;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7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контроля органов власти и торгов;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ЧОП «Дружина» (далее - Заявитель) на действия ОГКУ «Центр государственных закупок Томской области» (далее - Уполномоченное учреждение) при осуществлении закупки в форме открытого конкурса в электронной форме «Оказание охранных услуг» (извещение №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63" w:right="493" w:bottom="1217" w:left="1096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0865200000323002363) (далее - конкурс),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Уполномоченного учреждения Петровой В.К. (доверенность № 24 от 29.12.2023), Шелии Н.Л. (действует на основании распоряжения Департамента государственного заказа Томской области № 149-р от 14.08.2023), в отсутствие представителей ОГБПОУ «ТТИТ» (далее - Заказчик), Заявителя, о дате и месте рассмотрения жалобы уведомлены надлежащим образом,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Томское УФАС России обратился Заявитель с жалобой, поданной в срок и соответствующей статьей 105 Закона 44-ФЗ на действия конкурсной комиссии Уполномоченного учреждения при осуществлении закупки в форме открытого конкурса в электронной форме «Оказание охранных услуг» (извещение № 0865200000323002363), нарушающие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 его заявка отклонена неправомерно.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Уполномоченного учреждения пояснили, что заявка Заявителя отклонена в соответствии с законодательством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просит признать жалобу 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Уполномоченное учреждение просит признать жалобу необоснованной.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Томского УФАС России установила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закупки размещено на Официальном сайте единой информационной системы в сфере закупок в информационно</w:t>
        <w:softHyphen/>
        <w:t>телекоммуникационной сети Интернет (далее - Официальный сайт, ЕИС) 04.12.2023.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3 815 934,60 руб.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«Оказание охранных услуг».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на участие в закупке подано 8 заявок.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контракт не заключен.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7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 предусмотренных части 6 статьи 45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even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1666" w:right="536" w:bottom="81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25.12.2023 № ИЭОК1 заявка Заявителя (идентификационный номер заявки 115626315) отклонена на следующем основании: «В соответствии с подпунктом «а» пункта 1 части 11 статьи 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 на основании пункта 7 части 12 статьи 48 Закона заявка подлежит отклонению. Независимая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2024-350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гарантия, используемая для целей Закона, информация о ней и документы, предусмотренные частью 9 статьи 45 Закона, должны быть включены в реестр независимых гарантий, размещенный в единой информационной системе в сфере закупок. Независимая гарантия, размещенная в реестре независимых гарантий 14.12.2023, не соответствует требованиям, установленным частью 8.2 статьи 45 Закона и извещением об осуществлении закупки, так как в представленной независимой гарантии отсутствует телефон бенефициара (заказчика)».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1 статьи 44 Закона о контрактной системе при проведении конкурентных способов заказчик обязан установить требование обеспечения заявок на участие в закупке. Заказчик вправе не устанавливать такое требование в случае, если начальная (максимальная) цена контракта не превышает один миллион рублей.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4 статьи 44 Закона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гарантии, предусмотренной статьей 45 Закона о контрактной системе. Выбор способа обеспечения осуществляется участником закупки самостоятельно. Срок действия независимой гарантии должен составлять не менее месяца с даты окончания срока подачи заявок.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Подпунктом «б» пункта 1 части 5 статьи 44 Закона о контрактной системе установлено, что при проведении электронных процедур обеспечение заявки на участие в закупке предоставляется, в том числе путем предоставления независимой гарантии, соответствующей требованиям статьи 45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2 части 6 статьи 45 Закона о контрактной системе установлено, что основанием для отказа в принятии независимой гарантии заказчиком является несоответствие независимой гарантии требованиям, предусмотренным частями 2, 3 и 8.2 статьи 45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включения в него информации, порядок и сроки предоставления выписок из него, типовая форма независимой гарантии, используемой для целей Закона о контрактной системе, форма требования об уплате денежной суммы по независимой гарантии устанавливаются Правительством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08.11.2013 № 1005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 (далее - Постановление № 1005) утверждены: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дополнительные требования к независимой гарантии, используемой для целей Закона о контрактной системе (далее - Дополнительные требования);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90" w:val="left"/>
        </w:tabs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666" w:right="546" w:bottom="1253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документов, представляемых заказчиком гаранту одновременно с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требованием об осуществлении уплаты денежной суммы по независимой гарантии, правила ведения и размещения в ЕИС реестра независимых гарантий;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форма требования об осуществлении уплаты денежной суммы по независимой гарантии;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правила формирования и ведения закрытого реестра независимых гарантий;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- Типовая форма);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типовая форма независимой гарантии, предоставляемой в качестве обеспечения исполнения контракта.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момент выдачи Независимой гарантии Заявителю применение Типовой формы является обязательным.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Типовой форме, независимая гарантия должна содержать телефон и адрес электронной почты бенефициара (Заказчика).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установлено, что в Независимой гарантии № 9991- 4К1/1429897 от 14.12.2023, выданной ПАО «БАНК УРАЛСИБ» содержится наименование Заказчика, но при этом отсутствует актуальный номер бенефициара - в независимой гарантии указан номер «8 (3822) 46871», в то время как в извещении № 0865200000323002363 указан контактный номер «8 (3822) 468711».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Комиссия приходит к выводу, что Независимая гарантия, выданная Банком, не соответствует Типовой форме.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«а»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 России пришла к выводу, что в действиях Уполномоченного учреждения отсутствуют нарушения Закона о контрактной системе, поскольку заявка Заявителя была отклонена в силу несоответствия Независимой гарантии типовой форме, требования которой являются обязательными в соответствии с частью 8.2 статьи 45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не обоснована.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внеплановой проверки Комиссия Томского УФАС России установила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666" w:right="546" w:bottom="764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Независимая гарантия, выданная ПАО «БАНК УРАЛСИБ» не соответствует требованиям Типовой формы, так как указанные в независимой гарантии телефон,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2024-350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адрес электронной почты не соотносятся с требованиями к независимой гарантии, указанной в извещении об осуществлении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независимая гарантия выдана Заявителю 14.12.2023, что указывает на то, что на момент выдачи независимой гарантии Заявителю Типовая форма независимой гарантии, предоставляемой в качестве обеспечения исполнения заявки на участие в закупке, является обязательной.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вышеуказанные действия ПАО «БАНК УРАЛСИБ» нарушают часть 8.2 статьи 45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УФАС, руководствуясь статьей 99, 105, 106 Закона о контрактной системе,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ЧОП «Дружина» на действия ОГКУ «Центр государственных закупок Томской области» при осуществлении закупки в форме открытого конкурса в электронной форме «Оказание охранных услуг» (извещение № 0865200000323002363) необоснованной.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конкурсной комиссии Уполномоченного учреждения нарушений Закона о контрактной системе не выявлено.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ПАО «БАНК УРАЛСИБ» установлено нарушение части 8.2 статьи 45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85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нарушений.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1666" w:right="550" w:bottom="301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9410" distL="0" distR="0" simplePos="0" relativeHeight="12582939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828800" cy="24701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7.950000000000003pt;margin-top:7.pt;width:144.pt;height:19.449999999999999pt;z-index:-125829363;mso-wrap-distance-left:0;mso-wrap-distance-top:7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92" behindDoc="0" locked="0" layoutInCell="1" allowOverlap="1">
            <wp:simplePos x="0" y="0"/>
            <wp:positionH relativeFrom="page">
              <wp:posOffset>2872740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3329940</wp:posOffset>
                </wp:positionH>
                <wp:positionV relativeFrom="paragraph">
                  <wp:posOffset>564515</wp:posOffset>
                </wp:positionV>
                <wp:extent cx="1280160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62.19999999999999pt;margin-top:44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3287395</wp:posOffset>
                </wp:positionH>
                <wp:positionV relativeFrom="paragraph">
                  <wp:posOffset>250190</wp:posOffset>
                </wp:positionV>
                <wp:extent cx="1722120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58.85000000000002pt;margin-top:19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9090" distB="133985" distL="0" distR="0" simplePos="0" relativeHeight="125829393" behindDoc="0" locked="0" layoutInCell="1" allowOverlap="1">
                <wp:simplePos x="0" y="0"/>
                <wp:positionH relativeFrom="page">
                  <wp:posOffset>5228590</wp:posOffset>
                </wp:positionH>
                <wp:positionV relativeFrom="paragraph">
                  <wp:posOffset>339090</wp:posOffset>
                </wp:positionV>
                <wp:extent cx="1532890" cy="22225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289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А.Ф. Абдурахманов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11.69999999999999pt;margin-top:26.699999999999999pt;width:120.7pt;height:17.5pt;z-index:-125829360;mso-wrap-distance-left:0;mso-wrap-distance-top:26.699999999999999pt;mso-wrap-distance-right:0;mso-wrap-distance-bottom:10.5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А.Ф. Абдурахманов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Абдурахманов Азамат Фархадович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00С755ЕЕ55В155С4ЕЕ8Е81СЕС434А4Е9Е0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4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27.06.2023 по </w:t>
      </w: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19.09.2024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50" w:bottom="301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0500" distB="219075" distL="0" distR="0" simplePos="0" relativeHeight="125829395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190500</wp:posOffset>
                </wp:positionV>
                <wp:extent cx="1341120" cy="2501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57.950000000000003pt;margin-top:15.pt;width:105.60000000000001pt;height:19.699999999999999pt;z-index:-125829358;mso-wrap-distance-left:0;mso-wrap-distance-top:15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63525" distB="0" distL="0" distR="1786255" simplePos="0" relativeHeight="125829397" behindDoc="0" locked="0" layoutInCell="1" allowOverlap="1">
            <wp:simplePos x="0" y="0"/>
            <wp:positionH relativeFrom="page">
              <wp:posOffset>2875915</wp:posOffset>
            </wp:positionH>
            <wp:positionV relativeFrom="paragraph">
              <wp:posOffset>263525</wp:posOffset>
            </wp:positionV>
            <wp:extent cx="347345" cy="396240"/>
            <wp:wrapTopAndBottom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3287395</wp:posOffset>
                </wp:positionH>
                <wp:positionV relativeFrom="paragraph">
                  <wp:posOffset>351790</wp:posOffset>
                </wp:positionV>
                <wp:extent cx="1722120" cy="255905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58.85000000000002pt;margin-top:27.699999999999999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219075" distL="0" distR="0" simplePos="0" relativeHeight="125829398" behindDoc="0" locked="0" layoutInCell="1" allowOverlap="1">
                <wp:simplePos x="0" y="0"/>
                <wp:positionH relativeFrom="page">
                  <wp:posOffset>5228590</wp:posOffset>
                </wp:positionH>
                <wp:positionV relativeFrom="paragraph">
                  <wp:posOffset>190500</wp:posOffset>
                </wp:positionV>
                <wp:extent cx="1304290" cy="25019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К.К. Лукьяненок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11.69999999999999pt;margin-top:15.pt;width:102.7pt;height:19.699999999999999pt;z-index:-125829355;mso-wrap-distance-left:0;mso-wrap-distance-top:15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К.К. Лукьяненок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3440" w:right="0" w:firstLine="0"/>
        <w:jc w:val="both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Лукьяненок Климентий Константинович </w:t>
      </w: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00АА683Е22890ЕАО641</w:t>
      </w:r>
      <w:r>
        <w:rPr>
          <w:rFonts w:ascii="Arial" w:eastAsia="Arial" w:hAnsi="Arial" w:cs="Arial"/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ВВВВ72249908301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66" w:lineRule="auto"/>
        <w:ind w:left="3440" w:right="0" w:firstLine="0"/>
        <w:jc w:val="both"/>
        <w:rPr>
          <w:sz w:val="12"/>
          <w:szCs w:val="1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50" w:bottom="1666" w:left="1106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03.02.2023 </w:t>
      </w:r>
      <w:r>
        <w:rPr>
          <w:rFonts w:ascii="Arial" w:eastAsia="Arial" w:hAnsi="Arial" w:cs="Arial"/>
          <w:color w:val="8E8E8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28.04.2024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64" w:right="1975" w:bottom="1166" w:left="11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 w:val="0"/>
        <w:keepLines w:val="0"/>
        <w:framePr w:w="2712" w:h="403" w:wrap="none" w:vAnchor="text" w:hAnchor="page" w:x="5179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ЭП, хранится в системе электронного документооборота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России</w:t>
      </w:r>
    </w:p>
    <w:p>
      <w:pPr>
        <w:pStyle w:val="Style8"/>
        <w:keepNext w:val="0"/>
        <w:keepLines w:val="0"/>
        <w:framePr w:w="1690" w:h="398" w:wrap="none" w:vAnchor="text" w:hAnchor="page" w:x="823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К.С. Крылова</w:t>
      </w:r>
    </w:p>
    <w:p>
      <w:pPr>
        <w:widowControl w:val="0"/>
        <w:spacing w:after="714" w:line="1" w:lineRule="exact"/>
      </w:pPr>
      <w:r>
        <w:drawing>
          <wp:anchor distT="0" distB="0" distL="0" distR="1804670" simplePos="0" relativeHeight="62914708" behindDoc="1" locked="0" layoutInCell="1" allowOverlap="1">
            <wp:simplePos x="0" y="0"/>
            <wp:positionH relativeFrom="page">
              <wp:posOffset>2894965</wp:posOffset>
            </wp:positionH>
            <wp:positionV relativeFrom="paragraph">
              <wp:posOffset>91440</wp:posOffset>
            </wp:positionV>
            <wp:extent cx="311150" cy="365760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64" w:right="1975" w:bottom="1166" w:left="11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2"/>
          <w:szCs w:val="12"/>
        </w:rPr>
      </w:pP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8E8E8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241</w:t>
      </w: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Е4В4С2442Е14ВАЕ6А5С896О85СС6В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19" w:right="3995" w:bottom="1436" w:left="4539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с 25.01.2023 </w:t>
      </w:r>
      <w:r>
        <w:rPr>
          <w:rFonts w:ascii="Arial" w:eastAsia="Arial" w:hAnsi="Arial" w:cs="Arial"/>
          <w:color w:val="8E8E8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19.04.2024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19" w:right="0" w:bottom="143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Исп.Лукьяненок К.К.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тел.8 (3822) 516-614, вн. 147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19" w:right="8075" w:bottom="1436" w:left="11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pt;margin-top:776.2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pt;margin-top:776.2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050000000000004pt;margin-top:788.70000000000005pt;width:45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7.050000000000004pt;margin-top:788.70000000000005pt;width:45.100000000000001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7.050000000000004pt;margin-top:788.70000000000005pt;width:45.100000000000001pt;height:7.90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759460</wp:posOffset>
              </wp:positionV>
              <wp:extent cx="64135" cy="10668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30000000000001pt;margin-top:59.800000000000004pt;width:5.0499999999999998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759460</wp:posOffset>
              </wp:positionV>
              <wp:extent cx="67310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9.pt;margin-top:59.800000000000004pt;width:5.29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759460</wp:posOffset>
              </wp:positionV>
              <wp:extent cx="64135" cy="10668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9.30000000000001pt;margin-top:59.800000000000004pt;width:5.0499999999999998pt;height:8.4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759460</wp:posOffset>
              </wp:positionV>
              <wp:extent cx="64135" cy="10668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309.30000000000001pt;margin-top:59.800000000000004pt;width:5.0499999999999998pt;height:8.4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header" Target="header1.xml"/><Relationship Id="rId8" Type="http://schemas.openxmlformats.org/officeDocument/2006/relationships/footer" Target="footer3.xml"/><Relationship Id="rId9" Type="http://schemas.openxmlformats.org/officeDocument/2006/relationships/header" Target="header2.xml"/><Relationship Id="rId10" Type="http://schemas.openxmlformats.org/officeDocument/2006/relationships/footer" Target="footer4.xml"/><Relationship Id="rId11" Type="http://schemas.openxmlformats.org/officeDocument/2006/relationships/header" Target="header3.xml"/><Relationship Id="rId12" Type="http://schemas.openxmlformats.org/officeDocument/2006/relationships/footer" Target="footer5.xml"/><Relationship Id="rId13" Type="http://schemas.openxmlformats.org/officeDocument/2006/relationships/header" Target="header4.xml"/><Relationship Id="rId14" Type="http://schemas.openxmlformats.org/officeDocument/2006/relationships/footer" Target="footer6.xml"/><Relationship Id="rId15" Type="http://schemas.openxmlformats.org/officeDocument/2006/relationships/image" Target="media/image1.jpeg"/><Relationship Id="rId16" Type="http://schemas.openxmlformats.org/officeDocument/2006/relationships/image" Target="media/image1.jpeg" TargetMode="Externa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/Relationships>
</file>