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4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Челябинской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пр. Ленина, 59, г.Чедябинск, 454091</w:t>
        <w:br/>
        <w:t>тел. (351) 263-88-71, факс (351) 263-18-39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1о74@Та8.еоу.ги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8.01.2024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ВЛ/563/24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ЗГООПБЖ «ПОДАРИ ЖИЗНЬ» 456219, Челябинская обл., г. Златоуст, пр. Гагарина 2 линия дом 3 кв.61 /1а! /аЬо1а@таП 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Администрация Еткульского муниципального района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456560, Челябинская обл., с. Еткуль, ул. Ленина, 34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"mailto:Zakaz@admetkul.ru"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2ака/@,а4те!ки1.ги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Акционерное общество «Единая электронная торговая площадка» 115114, г. Москва, ул. Кожевническая, 14, стр. 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ко@го8екогд.ш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916" w:bottom="684" w:left="1140" w:header="0" w:footer="3" w:gutter="0"/>
          <w:pgNumType w:start="1"/>
          <w:cols w:num="2" w:space="720" w:equalWidth="0">
            <w:col w:w="4061" w:space="1200"/>
            <w:col w:w="458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Комиссии по осуществлению закупок (извещение № 0169300011923000297)</w:t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9" w:right="0" w:bottom="12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2"/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074/06/105-24/2024 (№ 10-ж/2024)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Челябинск, пр. Ленина, 59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«15» января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«18» января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Overlap w:val="never"/>
        <w:jc w:val="center"/>
        <w:tblLayout w:type="fixed"/>
      </w:tblPr>
      <w:tblGrid>
        <w:gridCol w:w="1704"/>
        <w:gridCol w:w="2539"/>
        <w:gridCol w:w="5741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Ливончик В.А.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заместителя руководителя управления -</w:t>
            </w:r>
          </w:p>
        </w:tc>
      </w:tr>
      <w:tr>
        <w:trPr>
          <w:trHeight w:val="85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начальника отдела контроля закупок для государственных и муниципальных нужд Челябинского УФАС России;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Сарсенбаевой Е.Н.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ведущего специалиста-эксперта отдела</w:t>
            </w:r>
          </w:p>
        </w:tc>
      </w:tr>
      <w:tr>
        <w:trPr>
          <w:trHeight w:val="86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контроля закупок для государственных и муниципальных нужд Челябинского УФАС России;</w:t>
            </w:r>
          </w:p>
        </w:tc>
      </w:tr>
      <w:tr>
        <w:trPr>
          <w:trHeight w:val="119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Гареевой Д.Ф.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993" w:val="left"/>
                <w:tab w:pos="4974" w:val="left"/>
              </w:tabs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главного</w:t>
              <w:tab/>
              <w:t>специалиста-эксперта</w:t>
              <w:tab/>
              <w:t>отдела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контроля закупок для государственных и муниципальных нужд Челябинского УФАС России,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руководствуясь частью 15 статьи 99, статьей 106 Федерального закона от 05.04.2013 № 44- ФЗ «О контрактной системе в сфере закупок товаров, работ, услуг для обеспечения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нужд» (далее - Закон о контрактной системе), рассмотрев жалобу ЗГООПБЖ «ПОДАРИ ЖИЗНЬ» на действия заказчика, совершенные при заключении контракта по итогам электронного аукциона на оказание услуг по осуществлению деятельности по обращению с животными без владельцев на территории Еткульского муниципального района (извещение № 0169300011923000297), в присутствии: - представителей администрации Еткульского муниципального района (далее - заказчик) Поповой Е.В., Кудрявцевой О.А., Замятиной Е.П., действующих на основании доверенностей от 12.01.2024 №№ 87, 88, 89;</w:t>
      </w:r>
    </w:p>
    <w:p>
      <w:pPr>
        <w:widowControl w:val="0"/>
        <w:spacing w:after="461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представителя ЗГООПБЖ «ПОДАРИ ЖИЗНЬ» (далее - заявитель) Верниковской Л.В., действующей на основании доверенности от 01.06.2023 № 5,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Челябинское УФАС России 09.01.2024 поступила жалоба заявителя на действия заказчика, совершенные при заключении контракта по итогам электронного аукциона на оказание услуг по осуществлению деятельности по обращению с животными без владельцев на территории Еткульского муниципального района (извещение № 0169300011923000297) (далее - аукцион, закупка).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представленным документам извещение о проведении электронного аукциона опубликовано в единой информационной системе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smallCaps/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гакцрИ.дом ги</w:t>
      </w:r>
      <w:r>
        <w:fldChar w:fldCharType="end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08.12.2023.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Максимальное значение цены контракта - 681 300,00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по итогам закупки не заключен. Единственный участник закупки (заявитель) признан уклонившимся от заключения контракта по результатам аукциона.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 в протоколе разногласий, размещенном участником закупки (заявителем), которому направлен контракт на подписание, указывалось на то, что в проект контракта включено условие, которое заведомо является недостоверным, обязывает исполнителя согласиться с тем, что очевидно не может покрыть расходы исполнителя, а наоборот привести к убыткам.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из условия пункта 2.1 проекта контракта следует, что исполнитель, в случае подписания контракта, соглашается с тем, что цена единицы услуги включает в себя все расходы исполнителя, необходимые для осуществления им своих обязательств по контракту в полном объеме и надлежащего качества, в том числе стоимость единицы услуги, стоимость материалов и оборудования, необходимых для оказания услуг, транспортные расходы по доставке материалов и рабочей силы, погрузо-разгрузочные работы, налоги (включая НДС), сборы и другие обязательные платежи, предусмотренные законодательством Российской Федерации, а также другие расходы, связанные с выполнением исполнителем своих обязательств по настоящему контракту.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было предложено исключить данное указание из пункта 2.1 проекта контракта. Предложенная к исключению информация, не является обязательным условием в рамках Закона о контрактной системе, что допускает внесение изменений.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данной части разногласия в условиях контракта не урегулированы, с чем не согласилась общественная организация.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связи с тем, что при проведении закупки заказчиком допускались нарушения Закона о контрактной системе, игнорировались права общественной организации, размещалась в единой информационной системе в сфере закупок недостоверная информация, которая ввела общественную организация в заблуждение относительно того, что в случае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соблюдения ее прав на получение разъяснений и при указании заказчиком на то, что в расчет цены контракта включены сведения, полученные в 2023 году, общественная организация располагала бы временем и возможностью отозвать заявку и не участвовать в заведомо убыточном аукционе. В сложившейся же ситуации, из поведения заказчика усматривается злоупотребление правом, в части лишения участника возможности получения достоверной информации о дате формирования стоимости закупаемых услуг, а также в части отказа на исключение из текста информации, которая очевидно является недостоверной, поскольку цены на услуги не только не покрывают будущие расходы исполнителя, но и вынужденно приведут к убыткам. В сложившейся ситуации баланс интересов заказчика и исполнителя смещается в сторону заказчика, желающего получить услугу, не оплатив ее истинную стоимость.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с доводом жалобы не согласились, представили письменные пояснения, которые на заседании Комиссии поддержали, и указали, что в расчете цены контракта заказчиком указана входящая дата коммерческого предложения 15.12.2021, однако запрос на получение коммерческих предложений направлен заказчиком 01.12.2023 (№ 458 от 01.12.2023), ответ поступил и зарегистрирован в журнале регистрации входящих документов от 07.12.2023. Заказчиком допущена техническая ошибка в электронном документе, содержащем расчет цены контракта, не исправлена входящая дата нового коммерческого предложения. Цены указанные при обосновании цены контракта соответствуют коммерческому предложению за входящим № 175 от 07.12.2023.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осуществлении закупки 14.12.2023 подан запрос о разъяснении положений извещения, ответ не был размещен в единой информационной системе. С доводом жалобы по поводу запроса о даче разъяснений заказчик согласен.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направленного заявителем протокола разногласий заказчик пояснил, что он согласился не со всеми пунктами редакции исполнителя, а именно: исключение из текста проекта контракта пункта 2.1. Заказчик не может нести дополнительные расходы по обязательствам исполнителя необходимые для оказания услуг по контракту.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 и материалы, руководствуясь статьей 106 Закона о контрактной системе, Комиссия пришла к следующим выводам,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пунктов 2, 5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электронные документы: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сведениям, размещенным в единой информационной системе, заказчиком при осуществлении закупки в качестве приложений к извещению размещены, в том числе электронные документы: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расчет максимальной цены контракта, который осуществлен заказчиком иным методом;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проект муниципального контракта на оказание услуг по осуществлению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 по обращению с животными без владельцев на территории Еткульского муниципального района.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со статьей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закупок. Открытость и прозрачность указанной информации обеспечиваются, в частности, путем ее размещения в единой информационной системе. 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антимонопольного органа обращает внимание заявителя, что доводы заявителя о размещении заказчиком в единой информационной системе в сфере закупок недостоверной информации в части входящей даты поступившего заказчику коммерческого предложения, а также об отсутствии разъяснений заказчика в ответ на запрос заявителя, не могут быть рассмотрены, поскольку правовая оценка и квалификация действий заказчика в указанной части дана Главным контрольным управлением Челябинской области в решении от 22.12.2023 по делу № 06-11/10.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Челябинского УФАС России отмечает, что доводы заявителя относительно обоснования заказчиком максимальной цены контракта также не могут быть рассмотрены Комиссией в связи с отсутствием полномочий в силу пункта 3 части 8 статьи 99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Главное контрольное управление Челябинской области в решении от 22.12.2023 по делу № 06-11/10 пришло к выводу об отсутствии нарушений законодательства о контрактной системе при обосновании заказчиком максимальной цены контракта, в указанной части доводы жалобы заявителя признаны необоснованными: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«Заявителем не представлены документы либо материалы, подтверждающие указанные доводы в части формирования НМЦК, в связи с чем, подтвердить факт завышения/занижения стоимости услуг по содержанию животных в приюте, лечению животных, а так же отлову таких животных не представляется возможным».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1 статьи 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«а»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настоящей статьи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настоящего Федерального закона, который должен содержать: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предусмотренную частью 6 статьи 30, пунктами 1, 2, 5 - 8, 10, 17, 18 и 20 части 1 статьи 42 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цену контракта, соответствующую цене контракта, предложенной в соответствии с настоящим Федеральным законом участником закупки, с которым заключается контракт, с учетом положений нормативных правовых актов, принятых в соответствии со статьей 14 настоящего Федерального закона, положений статей 28 и 29 настоящего Федерального закона, цену каждого отдельного этапа исполнения контракта, определенную в соответствии с частью 2 статьи 34 настоящего Федерального закона (если проектом контракта предусмотрены отдельные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подпунктами «в» или «г» настоящего пункта;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 статьей 14 настоящего Федерального закона, положений статей 28 и 29 настоящего Федерального закона (в случае, предусмотренном частью 24 статьи 22 настоящего Федерального закона). При этом цена единицы товара, работы, услуги определяется путем уменьшения начальной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платы, подлежащей внесению в соответствии с настоящим Федеральным законом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 (в случаях, предусмотренных настоящим Федеральным законом);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предусмотренную подпунктами «а», «б», «г», «е» и «п» пункта 1, подпунктами «а» и «б» пункта 2 части 1 статьи 43 настоящего Федерального закона, а также информацию, предусмотренную подпунктом «г» пункта 2 указанной части, в случае проведения электронного конкурса. При этом информация, предусмотренная подпунктами «а», «б», «г» и «е» пункта 1 части 1 статьи 43 настоящего Федерального закона, указывается с использованием единой информационной системы по состоянию на дату и время формирования проекта контракта;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документы (при наличии).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контракт по итогам закупки заключается сторонами на объявленных условиях при определения поставщика (подрядчика, исполнителя).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пунктом 2.1 проекта контракта, направленного на подпись участнику, на исключении которого настаивал заявитель в протоколе разногласий, предусмотрено, что «Цена единицы услуги включает в себя все расходы Исполнителя, необходимые для осуществления им своих обязательств по контракту в полном объеме и надлежащего качества, в том числе стоимость единицы услуги, стоимость материалов и оборудования, необходимых для оказания услуг, транспортные расходы по доставке материалов и рабочей силы, погрузо-разгрузочные работы, налоги (включая НДС), сборы и другие обязательные платежи, предусмотренные законодательством Российской Федерации, а также другие расходы, связанные с выполнением Исполнителем своих обязательств по настоящему Контракту».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Указанное условие отражено в пункте 2.1 проекта контракта, размещенного в единой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информационной системе в сфере закупок, при объявлении электронного аукциона, в связи с чем данное условие и включено в контракт, направляемый на подпись единственному участнику закупки по итогам закупки, что не противоречит законодательству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заявителя относительно необходимости исключения из пункта 2.1 проекта контракта условия о транспортных расходах противоречит законодательству о контрактной системе, поскольку услуги по транспортированию животных включены в объект закупки, соответственно, транспортные расходы учтены заказчиком при расчете максимальной цены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ЗГООПБЖ «ПОДАРИ ЖИЗНЬ» на действия заказчика, совершенные при заключении контракта по итогам электронного аукциона на оказание услуг по осуществлению деятельности по обращению с животными без владельцев на территории Еткульского муниципального района (извещение № 0169300011923000297)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9" w:right="534" w:bottom="1205" w:left="10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3835" distL="0" distR="0" simplePos="0" relativeHeight="125829378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330200</wp:posOffset>
                </wp:positionV>
                <wp:extent cx="182880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649999999999999pt;margin-top:26.pt;width:144.pt;height:19.699999999999999pt;z-index:-125829375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7210" simplePos="0" relativeHeight="125829380" behindDoc="0" locked="0" layoutInCell="1" allowOverlap="1">
            <wp:simplePos x="0" y="0"/>
            <wp:positionH relativeFrom="page">
              <wp:posOffset>2676525</wp:posOffset>
            </wp:positionH>
            <wp:positionV relativeFrom="paragraph">
              <wp:posOffset>421640</wp:posOffset>
            </wp:positionV>
            <wp:extent cx="311150" cy="36576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3069590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1.70000000000002pt;margin-top:38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3835" distL="0" distR="0" simplePos="0" relativeHeight="125829381" behindDoc="0" locked="0" layoutInCell="1" allowOverlap="1">
                <wp:simplePos x="0" y="0"/>
                <wp:positionH relativeFrom="page">
                  <wp:posOffset>6017260</wp:posOffset>
                </wp:positionH>
                <wp:positionV relativeFrom="paragraph">
                  <wp:posOffset>330200</wp:posOffset>
                </wp:positionV>
                <wp:extent cx="116713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В.А. Ливончик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3.80000000000001pt;margin-top:26.pt;width:91.900000000000006pt;height:19.699999999999999pt;z-index:-125829372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В.А. Ливончик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91" w:line="240" w:lineRule="auto"/>
        <w:ind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Ливончик Влада Анатольевна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008А08В8ССПА507Е407686ВСА8А57008Е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21.02.2023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16.05.2024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2640330</wp:posOffset>
            </wp:positionH>
            <wp:positionV relativeFrom="paragraph">
              <wp:posOffset>50800</wp:posOffset>
            </wp:positionV>
            <wp:extent cx="365760" cy="40259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1.75pt;margin-top:11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Е.Н. Сарсенбаева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Сарсенбаева Екатерина Николаевна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ООВА77РЕ376ВОЕ59С49Р61ЕР26В79А7В07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14.02.2023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2652395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5.34999999999999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3070225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1.75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Д.Ф. Гареева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Гареева Динара Флариковна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ООЕ6486СС7ЕС9АСЗООА8А53САСЕОЕСЗЕ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14.02.2023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Исп.Гареева Д.Ф. тел.8(351) 264-50-43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74" w:right="531" w:bottom="96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10050145</wp:posOffset>
              </wp:positionV>
              <wp:extent cx="5727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00000000000003pt;margin-top:791.35000000000002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10314940</wp:posOffset>
              </wp:positionV>
              <wp:extent cx="5727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12.20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162560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12.800000000000001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198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 (5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2">
    <w:name w:val="Заголовок №2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1"/>
      <w:szCs w:val="11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 w:line="26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198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auto"/>
      <w:spacing w:after="26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12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