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3542" w:h="2371" w:wrap="none" w:hAnchor="page" w:x="1453" w:y="1119"/>
        <w:widowControl w:val="0"/>
        <w:shd w:val="clear" w:color="auto" w:fill="auto"/>
        <w:bidi w:val="0"/>
        <w:spacing w:before="0" w:after="120" w:line="276" w:lineRule="auto"/>
        <w:ind w:left="0" w:right="0" w:firstLine="0"/>
        <w:jc w:val="center"/>
        <w:rPr>
          <w:sz w:val="18"/>
          <w:szCs w:val="18"/>
        </w:rPr>
      </w:pPr>
      <w:r>
        <w:rPr>
          <w:color w:val="4561A3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framePr w:w="3542" w:h="2371" w:wrap="none" w:hAnchor="page" w:x="1453" w:y="1119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561A3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Ростовской области</w:t>
      </w:r>
    </w:p>
    <w:p>
      <w:pPr>
        <w:pStyle w:val="Style6"/>
        <w:keepNext w:val="0"/>
        <w:keepLines w:val="0"/>
        <w:framePr w:w="3542" w:h="2371" w:wrap="none" w:hAnchor="page" w:x="1453" w:y="1119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пр. Ворошиловский, 2/2, офис 403</w:t>
        <w:br/>
        <w:t>г. Ростов-на-Дону, 344006</w:t>
        <w:br/>
        <w:t>тел. (863) 263-31-04, факс (863) 240-99-59</w:t>
        <w:br/>
        <w:t>е-тай: 1о61@Га5.§оу.П1</w:t>
      </w:r>
    </w:p>
    <w:p>
      <w:pPr>
        <w:pStyle w:val="Style8"/>
        <w:keepNext w:val="0"/>
        <w:keepLines w:val="0"/>
        <w:framePr w:w="4061" w:h="254" w:wrap="none" w:hAnchor="page" w:x="1141" w:y="41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 </w:t>
      </w:r>
    </w:p>
    <w:p>
      <w:pPr>
        <w:pStyle w:val="Style10"/>
        <w:keepNext/>
        <w:keepLines/>
        <w:framePr w:w="4848" w:h="4882" w:wrap="none" w:hAnchor="page" w:x="5706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«МедКуб»</w:t>
      </w:r>
      <w:bookmarkEnd w:id="0"/>
    </w:p>
    <w:p>
      <w:pPr>
        <w:pStyle w:val="Style10"/>
        <w:keepNext/>
        <w:keepLines/>
        <w:framePr w:w="4848" w:h="4882" w:wrap="none" w:hAnchor="page" w:x="5706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Заявитель)</w:t>
      </w:r>
    </w:p>
    <w:p>
      <w:pPr>
        <w:pStyle w:val="Style12"/>
        <w:keepNext w:val="0"/>
        <w:keepLines w:val="0"/>
        <w:framePr w:w="4848" w:h="4882" w:wrap="none" w:hAnchor="page" w:x="5706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Зиповская, д.8, оф.604, г. Краснодар,</w:t>
      </w:r>
    </w:p>
    <w:p>
      <w:pPr>
        <w:pStyle w:val="Style12"/>
        <w:keepNext w:val="0"/>
        <w:keepLines w:val="0"/>
        <w:framePr w:w="4848" w:h="4882" w:wrap="none" w:hAnchor="page" w:x="5706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Краснодарский край, 350010</w:t>
      </w:r>
    </w:p>
    <w:p>
      <w:pPr>
        <w:pStyle w:val="Style12"/>
        <w:keepNext w:val="0"/>
        <w:keepLines w:val="0"/>
        <w:framePr w:w="4848" w:h="4882" w:wrap="none" w:hAnchor="page" w:x="5706" w:y="879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Етай: к.те^киЬ@уап^ех.ги</w:t>
      </w:r>
    </w:p>
    <w:p>
      <w:pPr>
        <w:pStyle w:val="Style12"/>
        <w:keepNext w:val="0"/>
        <w:keepLines w:val="0"/>
        <w:framePr w:w="4848" w:h="4882" w:wrap="none" w:hAnchor="page" w:x="5706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ГБУ РО «Центральная районная больница» в Советском районе (далее - Заказчик)</w:t>
      </w:r>
    </w:p>
    <w:p>
      <w:pPr>
        <w:pStyle w:val="Style12"/>
        <w:keepNext w:val="0"/>
        <w:keepLines w:val="0"/>
        <w:framePr w:w="4848" w:h="4882" w:wrap="none" w:hAnchor="page" w:x="5706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40 лет Октября, д.71, ст. Советская, Советский район, Ростовская область, 347180 Етай: 8ОV-Ьиx61 @уап^ех.ги</w:t>
      </w:r>
    </w:p>
    <w:p>
      <w:pPr>
        <w:pStyle w:val="Style12"/>
        <w:keepNext w:val="0"/>
        <w:keepLines w:val="0"/>
        <w:framePr w:w="4848" w:h="4882" w:wrap="none" w:hAnchor="page" w:x="5706" w:y="879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Телефон: 7 (86363)-23581</w:t>
      </w:r>
    </w:p>
    <w:p>
      <w:pPr>
        <w:pStyle w:val="Style10"/>
        <w:keepNext/>
        <w:keepLines/>
        <w:framePr w:w="4848" w:h="4882" w:wrap="none" w:hAnchor="page" w:x="5706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«Сбербанк-АСТ»</w:t>
      </w:r>
      <w:bookmarkEnd w:id="3"/>
    </w:p>
    <w:p>
      <w:pPr>
        <w:pStyle w:val="Style10"/>
        <w:keepNext/>
        <w:keepLines/>
        <w:framePr w:w="4848" w:h="4882" w:wrap="none" w:hAnchor="page" w:x="5706" w:y="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(далее - Оператор электронной площадки)</w:t>
      </w:r>
    </w:p>
    <w:p>
      <w:pPr>
        <w:pStyle w:val="Style12"/>
        <w:keepNext w:val="0"/>
        <w:keepLines w:val="0"/>
        <w:framePr w:w="4848" w:h="4882" w:wrap="none" w:hAnchor="page" w:x="5706" w:y="879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Етай: ко@8ЬегЬапк-аз1.ги</w:t>
      </w:r>
    </w:p>
    <w:p>
      <w:pPr>
        <w:pStyle w:val="Style12"/>
        <w:keepNext w:val="0"/>
        <w:keepLines w:val="0"/>
        <w:framePr w:w="3907" w:h="859" w:wrap="none" w:hAnchor="page" w:x="4640" w:y="60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по результатам рассмотрения дела</w:t>
        <w:br/>
        <w:t>№061/06/42-25/2024</w:t>
      </w:r>
    </w:p>
    <w:p>
      <w:pPr>
        <w:pStyle w:val="Style12"/>
        <w:keepNext w:val="0"/>
        <w:keepLines w:val="0"/>
        <w:framePr w:w="1123" w:h="350" w:wrap="none" w:hAnchor="page" w:x="1136" w:y="6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12.01.2024</w:t>
      </w:r>
    </w:p>
    <w:p>
      <w:pPr>
        <w:pStyle w:val="Style12"/>
        <w:keepNext w:val="0"/>
        <w:keepLines w:val="0"/>
        <w:framePr w:w="1896" w:h="350" w:wrap="none" w:hAnchor="page" w:x="9459" w:y="688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г. Ростов-на-Дону</w:t>
      </w:r>
    </w:p>
    <w:p>
      <w:pPr>
        <w:pStyle w:val="Style12"/>
        <w:keepNext w:val="0"/>
        <w:keepLines w:val="0"/>
        <w:framePr w:w="10253" w:h="5736" w:wrap="none" w:hAnchor="page" w:x="1112" w:y="7436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Ростовской области (далее - Ростовское УФАС России, Комиссия) по контролю соблюдения законодательства в сфере закупок в составе:</w:t>
      </w:r>
    </w:p>
    <w:p>
      <w:pPr>
        <w:pStyle w:val="Style12"/>
        <w:keepNext w:val="0"/>
        <w:keepLines w:val="0"/>
        <w:framePr w:w="10253" w:h="5736" w:wrap="none" w:hAnchor="page" w:x="1112" w:y="7436"/>
        <w:widowControl w:val="0"/>
        <w:shd w:val="clear" w:color="auto" w:fill="auto"/>
        <w:tabs>
          <w:tab w:pos="8261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Комиссии:</w:t>
        <w:tab/>
        <w:t>М.А. Благодарев,</w:t>
      </w:r>
    </w:p>
    <w:p>
      <w:pPr>
        <w:pStyle w:val="Style12"/>
        <w:keepNext w:val="0"/>
        <w:keepLines w:val="0"/>
        <w:framePr w:w="10253" w:h="5736" w:wrap="none" w:hAnchor="page" w:x="1112" w:y="7436"/>
        <w:widowControl w:val="0"/>
        <w:shd w:val="clear" w:color="auto" w:fill="auto"/>
        <w:tabs>
          <w:tab w:pos="82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  <w:tab/>
        <w:t>С.А. Евстратова,</w:t>
      </w:r>
    </w:p>
    <w:p>
      <w:pPr>
        <w:pStyle w:val="Style12"/>
        <w:keepNext w:val="0"/>
        <w:keepLines w:val="0"/>
        <w:framePr w:w="10253" w:h="5736" w:wrap="none" w:hAnchor="page" w:x="1112" w:y="7436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Вертий,</w:t>
      </w:r>
    </w:p>
    <w:p>
      <w:pPr>
        <w:pStyle w:val="Style12"/>
        <w:keepNext w:val="0"/>
        <w:keepLines w:val="0"/>
        <w:framePr w:w="10253" w:h="5736" w:wrap="none" w:hAnchor="page" w:x="1112" w:y="7436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дело №061/06/42-25/2024 по жалобе Заявителя о нарушении Заказчиком при проведении электронного аукциона №0358300380323000013 «Поставка щитов спинальных для фиксации головы рентгенпрозрачный, амагнитный (для оснащения фельдшерско- акушерского пункта, фельдшерского здравпункта). В рамках реализации региональной программы «Модернизация первичного звена здравоохранения Ростовской области» приобретение медицинского оборудования» (далее - аукцион) норм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- Закон), путем использования системы видеоконференц-связи (ВКС), в отсутствие представителей сторон, уведомленных надлежащим образом (ходатайств не поступало),</w:t>
      </w:r>
    </w:p>
    <w:p>
      <w:pPr>
        <w:pStyle w:val="Style10"/>
        <w:keepNext/>
        <w:keepLines/>
        <w:framePr w:w="10253" w:h="5736" w:wrap="none" w:hAnchor="page" w:x="1112" w:y="7436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6"/>
    </w:p>
    <w:p>
      <w:pPr>
        <w:pStyle w:val="Style12"/>
        <w:keepNext w:val="0"/>
        <w:keepLines w:val="0"/>
        <w:framePr w:w="10248" w:h="917" w:wrap="none" w:hAnchor="page" w:x="1112" w:y="13383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Ростовское УФАС России поступила жалоба Заявителя на действия ГБУ РО «Центральная районная больница» в Советском районе при разработке извещения электронного аукциона.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07975" distL="67310" distR="1393190" simplePos="0" relativeHeight="62914691" behindDoc="1" locked="0" layoutInCell="1" allowOverlap="1">
            <wp:simplePos x="0" y="0"/>
            <wp:positionH relativeFrom="page">
              <wp:posOffset>791210</wp:posOffset>
            </wp:positionH>
            <wp:positionV relativeFrom="margin">
              <wp:posOffset>2270760</wp:posOffset>
            </wp:positionV>
            <wp:extent cx="1121410" cy="20129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121410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2" behindDoc="1" locked="0" layoutInCell="1" allowOverlap="1">
            <wp:simplePos x="0" y="0"/>
            <wp:positionH relativeFrom="page">
              <wp:posOffset>727075</wp:posOffset>
            </wp:positionH>
            <wp:positionV relativeFrom="margin">
              <wp:posOffset>3081655</wp:posOffset>
            </wp:positionV>
            <wp:extent cx="2597150" cy="18288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3" behindDoc="1" locked="0" layoutInCell="1" allowOverlap="1">
            <wp:simplePos x="0" y="0"/>
            <wp:positionH relativeFrom="page">
              <wp:posOffset>714375</wp:posOffset>
            </wp:positionH>
            <wp:positionV relativeFrom="margin">
              <wp:posOffset>9259570</wp:posOffset>
            </wp:positionV>
            <wp:extent cx="1517650" cy="29273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2" w:line="1" w:lineRule="exact"/>
      </w:pPr>
    </w:p>
    <w:p>
      <w:pPr>
        <w:widowControl w:val="0"/>
        <w:spacing w:line="1" w:lineRule="exact"/>
        <w:sectPr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284" w:right="536" w:bottom="1216" w:left="111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 в возражениях на жалобу: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отрицал нарушения Закона в действиях Заказчика;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указал причины формирования спорных положений описания объекта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6" w:val="left"/>
        </w:tabs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представил пояснения по доводу жалобы.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ч.ч.1,3 ст.99 Закона, в ходе рассмотрения дела установлено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Извещение об осуществлении закупки размещено Заказчиком в Единой информационной системе в сфере закупок (далее — ЕИС) на официальном сайте \\л\л\-./акирк1.до\\ги 28.12.2023, согласно которому: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установлены дата и время окончания подачи заявок - 09.01.2024 09:00 (МСК);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26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(НМЦК) составила 466 666, 64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Закупка осуществляется в рамках реализации национального проекта «Здравоохранения».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протоколом подведения итогов определения поставщика (подрядчика, исполнителя) от 10.01.2024 №ИЭА1, на участие в закупке подано 8 заявок, которые признаны соответствующими требованиям извещения.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доводу жалобы Заявителя, Заказчиком после внесения изменения в извещение о проведении закупки в соответствии с поданным запросом от 27.12.2023 не приведено в соответствие описание товара, изложенное в текстовом файле «Описание объекта закупки», с описанием товара, определенном структурированной форме извещения о проведении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1 ч.1 ст.33 Закона установлено, что Заказчик в случаях, предусмотренных настоящим Федеральным законом,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ч.6 ст.23 Закона,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Во исполнение приведенной норм Закона Постановлением Правительства РФ от 08.02.2017 №145 утверждены правила использования каталога товаров, работ, услуг для обеспечения государственных и муниципальных нужд (далее - Правила).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п.7 Правил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статьи 33 Федерального закона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. При проведении предусмотренных Федеральным законом электронных процедур, закрытых электронных процедур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 xml:space="preserve">характеристики объекта закупки, предусмотренные пунктом 1 части 1 статьи 33 Федерального закона, указываются с использованием единой информационной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частью 1 статьи 42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 пунктом 1 части 1 статьи 75 Федерального закона соответственно.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п.5 ч.1 ст.42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качестве кода каталога товара, работы, услуги, на которые в каталоге отсутствует соответствующая позиция, указывается код такого товара, работы, услуги согласно Общероссийскому классификатору продукции по видам экономической деятельности (ОКПД2) ОК 034-2014.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РФ от 31.10.2022 №1946 «О внесении изменений в некоторые акты Правительства Российской Федерации по вопросам осуществления закупок товаров, работ, услуг для обеспечения государственных и муниципальных нужд, закупок товаров, работ, услуг отдельными видами юридических лиц и признании утратившими силу постановления Правительства Российской Федерации от 26 сентября 1997 г. №1222 и отдельных положений некоторых актов Правительства Российской Федерации» утверждены дополнительные требования к 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площадок, утвержденные указанным постановлением, дополнить пунктами 31 и 32.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п.п. «б» п.11 Постановления №1946: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31. при формировании предложения участника закупки в отношении объекта закупки, предусмотренного пунктом 2 части 1 статьи 43 Федерального закона, с использованием электронной площадки, специализированной электронной площадки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 в соответствии с пунктом 5 части 1 статьи 42 Федерального закона, в приглашении принять участие в определении поставщика (подрядчика, исполнителя) в соответствии с пунктом 1 части 1 статьи 75 Федерального закона соответственно. Такие характеристики размещаются оператором электронной площадки, оператором специализированной электронной площадки в единой информационной системе (без размещения на официальном сайте единой информационной системы) одновременно с размещением протокола подведения итогов определения поставщика (подрядчика, исполнителя).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Изменения, внесенные Постановлением №1946, применяются к закупкам, извещения (приглашения) об осуществлении которых размещены (направлены) с 01.10.2023.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позиции, изложенной в письме Минфина России от 25.09.2023 №24-03-09/90944, Постановление Правительства РФ от 27.01.2022 №60 «О мерах по информационному обеспечению контрактной системы в сфере закупок товаров, работ, услуг для обеспечения государственных и муниципальных нужд, по организации в ней документооборота,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Федерации» (далее — Положение) устанавливает разные способы размещения в ЕИС информации и документов, формируемых с использованием ЕИС и сформированных без ее использования, в частности: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формирование информации и документов с использованием ЕИС осуществляется путем заполнения экранных форм веб-интерфейса ЕИС или путем представления в ЕИС электронного документа, содержащего сформированную информацию, посредством информационного взаимодействия (пункт 3 Положения);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документы, сформированные без использования ЕИС, размещаются в ЕИС в форме электронного документа или образа бумажного документа (пункт 4 Положения).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осуществлении закупки товара, работы, услуги, в отношении которых в каталоге отсутствуют позиции, извещение об осуществлении которой размещено в ЕИС с 1 октября 2023: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0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 в части характеристик, предусмотренных пунктом 1 части 1 статьи 33 Закона № 44-ФЗ, указывается в формируемом с использованием ЕИС извещении об осуществлении закупки на основании пункта 5 части 1 статьи 42 Закона № 44-ФЗ с учетом пункта 3 Положения;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00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описание объекта закупки, включающее также характеристики, предусмотренные пунктом 1 части 1 статьи 33 Закона № 44-ФЗ (то есть, полное описание объекта закупки), прилагается к извещению в качестве документа, сформированного без использования ЕИС.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Так, например, в извещении о проведении закупки Заказчиком приведены следующие характеристики товара: «Вспененное покрытие, обеспечивающее плавучесть доски», «Возможность дезинфекции растворами типа "Хлоргексидин" или "Мирамистин", или 3% раствором перекиси водорода с добавлением 0,5% моющего средства», «Грузоподъемность, кг &gt; 159», и др.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значение характеристики «грузоподъемность» в описании объекта закупки определена «Не менее 180», другие указанные характеристики отсутствует в данном файле.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Несоответствие характеристик, изложенных в структурированной форме извещения и текстовом файле «описание объекта закупки» свидетельствует о нарушении Заказчиком ч. 2 ст. 42 Закона. Жалоба Заявителя признана обоснованной.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рамках проведения в соответствии с ч.15 ст.99 Закона внеплановой проверки Комиссией Ростовского УФАС России установлено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п.5 ч.2 ст.42 Закона, извещение об осуществлении закупки, если иное не предусмотрено настоящим Федеральным законом, должно содержать, в том числе, проект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20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возможности одностороннего отказа от исполнения контракта в соответствии со статьей 95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подпунктом 1 части 14 статьи 34 Закона о контрактной системе в контракт могут быть включены условия о возможности одностороннего отказа от исполнения контракта в соответствии с положениями частей 8 - 11, 13 - 19, 21 - 23 и 25 статьи 95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8 статьи 95 Закона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Так, согласно извещению о проведении закупки, Заказчиком установлено следующее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«Предусмотрена возможность одностороннего отказа от исполнения контракта в соответствии со ст.95 Закона ^ 44-ФЗ — Нет».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Вместе с тем, Комиссия Ростовского УФАС России отмечает, что в силу п. 12.5 проекта контракта расторжение контракта допускается по соглашению Сторон, по решению суда, 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случае одностороннего отказа стороны контракта от исполнения контракта в соответствии с гражданским законодательством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приходит к выводу, что действия Заказчика, установившего противоречивые условия о возможности одностороннего отказа от исполнения контракта, нарушают требования ч.1 ст.42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пункту 17 части 1 статьи 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4" w:val="left"/>
        </w:tabs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размер обеспечения исполнения контракта, гарантийных обязательств, порядок предоставления такого обеспечения, требования к такому обеспечению (если требование обеспечения исполнения контракта, гарантийных обязательств установлено в соответствии со статьей 96 настоящего Федерального закона);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Так, согласно извещению о проведении закупки, Заказчиком установлено следующее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Обеспечение гарантийных обязательств не требуется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Комиссия Ростовского УФАС России отмечает, что в силу п. 12.5 проекта контракта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приходит к выводу, что действия Заказчика, установившего противоречивые условия о возможности одностороннего отказа от исполнения контракта, нарушают требования ч.1 ст.42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4 ст. 34 Закона установлено, что в контракт включается обязательное условие об ответственности заказчика и поставщика (подрядчика, исполнителя) за неисполнение или ненадлежащее исполнение обязательств, предусмотренных контрактом.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соответствии с ч. 8 ст. 34 Закона штрафы начисляются за неисполнение или ненадлежащее исполнение поставщиком (подрядчиком, исполнителем) обязательств, предусмотренных контрактом, за исключением просрочки исполнения поставщиком (подрядчиком, исполнителем) обязательств (в том числе гарантийного обязательства), предусмотренных контрактом.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Размер штрафа устанавливается контрактом в порядке, установленном Правительством Российской Федерации,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 за исключением случаев, если законодательством Российской Федерации установлен иной порядок начисления штрафов.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Постановлением Правительства РФ от 30.08.2017 ^ 1042 утверждены правила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(далее - Правила определения штрафа).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п.4 Правил определения штрафа, за каждый факт неисполнения или ненадлежащего исполнения поставщиком (подрядчиком, исполнителем) обязательств, предусмотренных контрактом, заключенным по результатам определения поставщика (подрядчика, исполнителя) в соответствии с пунктом 1 части 1 статьи 30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закон), 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размере 1 процента цены контракта (этапа), но не более 5 тыс. рублей и не менее 1 тыс. 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о проведении закупки установлены преимущества в соответствии с ч.3 ст.30 Закона, при этом, условие, предусмотренное п.4 Правил определения штрафа, не включено Заказчиком в проект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Установив несоответствующий Правилам определения штрафов порядок начисления штрафов за ненадлежащее исполнение обязательств по контракту, Заказчик нарушил ч.8 ст.34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ч.16 ст.94 Закона, в случае обмена документами при применении мер ответственности и совершении иных действий в связи с нарушением поставщиком (подрядчиком, исполнителем) или заказчиком условий контракта в отношении контракта, заключенного по результатам электронных процедур, закрытых электронных процедур (за исключением закрытых электронных процедур, проводимых федеральными органами исполнительной власти, осуществляющими функции по выработке и реализации государственной политики в области обороны, в области государственной охраны, государственного управления в области обеспечения безопасности Российской Федерации, в сфере деятельности войск национальной гвардии Российской Федерации, подведомственными им государственными учреждениями, государственными унитарными предприятиями, в случае, предусмотренном пунктом 5 части 11 статьи 24 настоящего Федерального закона), такой обмен осуществляется с использованием единой информационной системы путем направления электронных уведомлений. Такие уведомления формируются с использованием единой информационной системы, подписываются усиленной электронной подписью лица, имеющего право действовать от имени заказчика, поставщика (подрядчика, исполнителя), и размещаются в единой информационной системе без размещения на официальном сайте.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вышеуказанной нормой Закона не предусмотрена возможность обмена документами при применении мер ответственности любыми иными способами помимо формирования уведомлений с помощью единой информационной системы.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Между тем, в нарушение ч.2 ст.42 Закона, соответствующий порядок взаимодействия сторон при применении мер ответственности и совершении иных действий в связи с нарушением поставщиком (подрядчиком, исполнителем) или заказчиком условий контракта проектом контракта не определен.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3 ч.2 ст.42 Закона определено, что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п.5 ч.1 ст.43 Закона, для участия в конкурентном способе заявка на участие в закупке, если иное не предусмотрено настоящим Федеральным законом, должна содержать информация и документы, предусмотренные нормативными правовыми актами, принятыми в соответствии с частями 3 и 4 статьи 14 настоящего Федерального закона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запреты, ограничения, условия допуска).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о проведении закупки установлены ограничения допуска согласно нормам постановления Правительства РФ от 30.04.2020 №617 "Об ограничениях допуска отдельных видов промышленных товаров, происходящих из иностранных государств, для целей осуществления закупок для обеспечения государственных и муниципальных нужд" (далее - Постановление №617).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Пунктом 7 Постановления №617 установлено, что для целей реализации настоящего постановления подтверждением страны происхождения отдельных видов промышленных товаров является одно из следующих условий: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указание номеров реестровых записей из реестра промышленной продукции, произведенной на территории Российской Федерации (далее - реестр российской промышленной продукции), а также информации о совокупном количестве баллов за выполнение технологических операций (условий) на территории Российской Федерации, если это предусмотрено постановлением Правительства Российской Федерации от 17 июля 2015 г. ^ 719 "О подтверждении производства промышленной продукции на территории Российской Федерации" (для продукции, в отношении которой установлены требования о совокупном количестве баллов за выполнение (освоение) на территории Российской Федерации соответствующих операций (условий) (далее - совокупное количество баллов);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74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указание номеров реестровых записей из евразийского реестра промышленных товаров государств - членов Евразийского экономического союза, порядок формирования и ведения которого устанавливается правом Евразийского экономического союза (далее - евразийский реестр промышленных товаров), а также информации о совокупном количестве баллов за выполнение на территории государств - членов Евразийского экономического союза технологических операций (условий), если это предусмотрено решением Совета Евразийской экономической комиссии от 23 ноября 2020 г. ^ 105 "Об утверждении Правил определения страны происхождения отдельных видов товаров для целей государственных (муниципальных) закупок" (для продукции, в отношении которой установлены требования о совокупном количестве баллов);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В силу п.9 Постановления №617 подтверждением страны происхождения товаров, указанных в перечне, является указание (декларирование)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(при наличии). Номера реестровых записей и совокупное количество баллов (при наличии) о поставляемом товаре включаются в контракт,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извещении о проведении закупки Заказчиком правомерно установлены ограничения допуска в соответствии с Постановлением №617, при этом перечень документов, подтверждающих соответствие товара указанному ограничению, не определен требованиями к содержанию и составу заявки, что свидетельствует о нарушении Заказчиком ч.2 ст.42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Согласно ч.5 ст.42 Закона любой участник закупки, зарегистрированный в единой информационной системе, вправе направить с использованием электронной площадки заказчику не более чем три запроса о даче разъяснений положений извещения об осуществлении закупки при проведении электронного конкурса и электронного аукциона не позднее чем за три дня до окончания срока подачи заявок на участие в закупке. Не позднее одного часа с момента поступления такого запроса оператор электронной площадки направляет его с использованием электронной площадки заказчику. Не позднее двух дней со дня, следующего за днем поступления заказчику запроса о даче разъяснения положений извещения об осуществлении закупки, </w:t>
      </w:r>
      <w:r>
        <w:rPr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ru-RU" w:eastAsia="ru-RU" w:bidi="ru-RU"/>
        </w:rPr>
        <w:t>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разъяснение положений извещения об осуществлении закупки с указанием предмета запроса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, но без указания участника закупки, от которого поступил такой запрос. Такие разъяснения не должны изменять суть извещения об осуществлении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Заказчиком направлены разъяснения положений извещения об осуществлении закупки от 28.12.2023 №РИ1: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«В ответ на ваш запрос сообщаем, что внесены изменения в конкурсную документацию, а именно в Технические требования.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Адрес поставки соответствует, адресу указанному в извещении: 347180; Ростовская область, Советский район, ст. Советская, ул. 40 лет Октября, 71».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Направив разъяснения положений извещения, которые не содержат информации о предмете запроса, Заказчик нарушил ч.5 ст.42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Постановления Правительства РФ от 26.08.2013г. № 728, в соответствии с ч.15 ст.99, ч.8 ст.106 Закона,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8" w:name="bookmark8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8"/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Заявителя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ч.1, ч.2, ч.5 ст.42, ч.8 ст.34 Закона.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20" w:val="left"/>
        </w:tabs>
        <w:bidi w:val="0"/>
        <w:spacing w:before="0" w:after="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обязательное для исполнения предписание об отмене всех сформированных протоколов, внесении изменений в извещение согласно нормам Закона и с учетом настоящего решения.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720" w:val="left"/>
        </w:tabs>
        <w:bidi w:val="0"/>
        <w:spacing w:before="0" w:after="200" w:line="240" w:lineRule="auto"/>
        <w:ind w:left="0" w:right="0" w:firstLine="3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Рассмотреть вопрос о привлечении к административной ответственности виновного должностного лица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ч.9 ст.106 Закона решение может быть обжаловано в судебном порядке в течение трех месяцев со дня его принятия.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6051550</wp:posOffset>
                </wp:positionH>
                <wp:positionV relativeFrom="paragraph">
                  <wp:posOffset>12700</wp:posOffset>
                </wp:positionV>
                <wp:extent cx="1139825" cy="22225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982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Благодарев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76.5pt;margin-top:1.pt;width:89.75pt;height:17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Благодарев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Мест для подписи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left"/>
        <w:rPr>
          <w:sz w:val="19"/>
          <w:szCs w:val="19"/>
        </w:rPr>
      </w:pPr>
      <w:r>
        <w:rPr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Бпагодярен М 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С.А. Евстратова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/>
        <w:ind w:right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6331585</wp:posOffset>
                </wp:positionH>
                <wp:positionV relativeFrom="paragraph">
                  <wp:posOffset>546100</wp:posOffset>
                </wp:positionV>
                <wp:extent cx="856615" cy="22225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2222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А.А. Вертий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98.55000000000001pt;margin-top:43.pt;width:67.450000000000003pt;height:17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А.А. Вертий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Мест для подписи: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ЕвСЕрЯ'ОВД С- А.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ind w:right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Мест </w:t>
      </w: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для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подписи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Верти А. А.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Исп.Вертий А.А.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тел.(863) 240-86-88, вн.061-132</w:t>
      </w:r>
    </w:p>
    <w:sectPr>
      <w:footerReference w:type="default" r:id="rId14"/>
      <w:footnotePr>
        <w:pos w:val="pageBottom"/>
        <w:numFmt w:val="decimal"/>
        <w:numRestart w:val="continuous"/>
      </w:footnotePr>
      <w:pgSz w:w="11900" w:h="16840"/>
      <w:pgMar w:top="1030" w:right="532" w:bottom="1109" w:left="1101" w:header="602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2024-597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5" type="#_x0000_t202" style="position:absolute;margin-left:57.pt;margin-top:776.20000000000005pt;width:45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2024-597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10055860</wp:posOffset>
              </wp:positionV>
              <wp:extent cx="3267710" cy="10350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677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5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514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2024-597</w:t>
                            <w:tab/>
                          </w: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6.950000000000003pt;margin-top:791.80000000000007pt;width:257.30000000000001pt;height:8.1500000000000004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5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514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2024-597</w:t>
                      <w:tab/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717550</wp:posOffset>
              </wp:positionH>
              <wp:positionV relativeFrom="page">
                <wp:posOffset>9814560</wp:posOffset>
              </wp:positionV>
              <wp:extent cx="6480175" cy="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801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6.5pt;margin-top:772.80000000000007pt;width:510.2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7">
    <w:name w:val="Основной текст (3)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6"/>
      <w:szCs w:val="16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9"/>
      <w:szCs w:val="19"/>
      <w:u w:val="none"/>
    </w:rPr>
  </w:style>
  <w:style w:type="character" w:customStyle="1" w:styleId="CharStyle11">
    <w:name w:val="Заголовок №1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6">
    <w:name w:val="Колонтитул (2)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Основной текст (4)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color w:val="898888"/>
      <w:sz w:val="17"/>
      <w:szCs w:val="17"/>
      <w:u w:val="none"/>
    </w:rPr>
  </w:style>
  <w:style w:type="character" w:customStyle="1" w:styleId="CharStyle23">
    <w:name w:val="Основной текст (6)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color w:val="898888"/>
      <w:sz w:val="20"/>
      <w:szCs w:val="20"/>
      <w:u w:val="none"/>
    </w:rPr>
  </w:style>
  <w:style w:type="character" w:customStyle="1" w:styleId="CharStyle27">
    <w:name w:val="Основной текст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0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auto"/>
      <w:spacing w:after="16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6"/>
      <w:szCs w:val="16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1A3"/>
      <w:sz w:val="19"/>
      <w:szCs w:val="19"/>
      <w:u w:val="none"/>
    </w:rPr>
  </w:style>
  <w:style w:type="paragraph" w:customStyle="1" w:styleId="Style10">
    <w:name w:val="Заголовок №1"/>
    <w:basedOn w:val="Normal"/>
    <w:link w:val="CharStyle11"/>
    <w:pPr>
      <w:widowControl w:val="0"/>
      <w:shd w:val="clear" w:color="auto" w:fill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5">
    <w:name w:val="Колонтитул (2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Основной текст (4)"/>
    <w:basedOn w:val="Normal"/>
    <w:link w:val="CharStyle21"/>
    <w:pPr>
      <w:widowControl w:val="0"/>
      <w:shd w:val="clear" w:color="auto" w:fill="auto"/>
      <w:spacing w:after="200" w:line="406" w:lineRule="auto"/>
      <w:ind w:left="3700" w:firstLine="20"/>
    </w:pPr>
    <w:rPr>
      <w:rFonts w:ascii="Arial" w:eastAsia="Arial" w:hAnsi="Arial" w:cs="Arial"/>
      <w:b/>
      <w:bCs/>
      <w:i w:val="0"/>
      <w:iCs w:val="0"/>
      <w:smallCaps w:val="0"/>
      <w:strike w:val="0"/>
      <w:color w:val="898888"/>
      <w:sz w:val="17"/>
      <w:szCs w:val="17"/>
      <w:u w:val="none"/>
    </w:rPr>
  </w:style>
  <w:style w:type="paragraph" w:customStyle="1" w:styleId="Style22">
    <w:name w:val="Основной текст (6)"/>
    <w:basedOn w:val="Normal"/>
    <w:link w:val="CharStyle23"/>
    <w:pPr>
      <w:widowControl w:val="0"/>
      <w:shd w:val="clear" w:color="auto" w:fill="auto"/>
      <w:spacing w:before="80" w:after="4700" w:line="360" w:lineRule="auto"/>
      <w:ind w:left="3700" w:firstLine="20"/>
    </w:pPr>
    <w:rPr>
      <w:rFonts w:ascii="Arial" w:eastAsia="Arial" w:hAnsi="Arial" w:cs="Arial"/>
      <w:b/>
      <w:bCs/>
      <w:i w:val="0"/>
      <w:iCs w:val="0"/>
      <w:smallCaps w:val="0"/>
      <w:strike w:val="0"/>
      <w:color w:val="898888"/>
      <w:sz w:val="20"/>
      <w:szCs w:val="20"/>
      <w:u w:val="none"/>
    </w:rPr>
  </w:style>
  <w:style w:type="paragraph" w:customStyle="1" w:styleId="Style26">
    <w:name w:val="Основной текст (5)"/>
    <w:basedOn w:val="Normal"/>
    <w:link w:val="CharStyle27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footer" Target="footer1.xml"/><Relationship Id="rId14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Решение Ростовского УФАС России от 06.03.2023 N 061/06/42-692/2023Нарушение: п. 20 ч. 1 ст. 42 Закона о контрактной системе.Решение: Признать жалобу обоснованной; выдать предписание об устранении нарушений.</dc:title>
  <dc:subject/>
  <dc:creator/>
  <cp:keywords/>
</cp:coreProperties>
</file>